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CEA2" w14:textId="77777777" w:rsidR="005E6F82" w:rsidRPr="005E6F82" w:rsidRDefault="005E6F82" w:rsidP="00BD242C">
      <w:pPr>
        <w:pStyle w:val="Heading2"/>
        <w:jc w:val="center"/>
        <w:rPr>
          <w:rFonts w:ascii="Times New Roman" w:hAnsi="Times New Roman" w:cs="Times New Roman"/>
          <w:sz w:val="24"/>
          <w:szCs w:val="24"/>
          <w:lang w:val="en-GB"/>
        </w:rPr>
      </w:pPr>
      <w:r w:rsidRPr="005E6F82">
        <w:rPr>
          <w:rFonts w:ascii="Times New Roman" w:hAnsi="Times New Roman" w:cs="Times New Roman"/>
          <w:sz w:val="24"/>
          <w:szCs w:val="24"/>
          <w:lang w:val="en-GB"/>
        </w:rPr>
        <w:t>The development of the Australian environmental offsets policy: from theory to practice</w:t>
      </w:r>
    </w:p>
    <w:p w14:paraId="4A6AE143" w14:textId="77777777" w:rsidR="005E6F82" w:rsidRPr="005E6F82" w:rsidRDefault="005E6F82" w:rsidP="00BD242C">
      <w:pPr>
        <w:pStyle w:val="ListBullet"/>
        <w:numPr>
          <w:ilvl w:val="0"/>
          <w:numId w:val="0"/>
        </w:numPr>
        <w:spacing w:after="0" w:line="480" w:lineRule="auto"/>
        <w:jc w:val="center"/>
        <w:rPr>
          <w:rFonts w:ascii="Times New Roman" w:hAnsi="Times New Roman"/>
          <w:lang w:val="en-GB"/>
        </w:rPr>
      </w:pPr>
      <w:r w:rsidRPr="005E6F82">
        <w:rPr>
          <w:rFonts w:ascii="Times New Roman" w:hAnsi="Times New Roman"/>
          <w:lang w:val="en-GB"/>
        </w:rPr>
        <w:t>KATHERINE L. MILLER, JAMES A. TREZISE, STEFAN KRAUS, KIMBERLEY DRIPPS, MEGAN C. EVANS, PHILIP GIBBONS, HUGH P. POSSINGHAM AND MARTINE MARON</w:t>
      </w:r>
    </w:p>
    <w:p w14:paraId="01509AF7" w14:textId="77777777" w:rsidR="005E6F82" w:rsidRPr="005E6F82" w:rsidRDefault="005E6F82" w:rsidP="00BC700A">
      <w:pPr>
        <w:spacing w:line="360" w:lineRule="auto"/>
        <w:rPr>
          <w:rFonts w:ascii="Times New Roman" w:hAnsi="Times New Roman"/>
          <w:b/>
          <w:lang w:val="en-GB"/>
        </w:rPr>
      </w:pPr>
    </w:p>
    <w:p w14:paraId="4B9FBB11" w14:textId="77777777" w:rsidR="00283778" w:rsidRPr="00F92BD5" w:rsidRDefault="00283778" w:rsidP="00283778">
      <w:pPr>
        <w:spacing w:after="0" w:line="480" w:lineRule="auto"/>
        <w:rPr>
          <w:rFonts w:ascii="Times New Roman" w:hAnsi="Times New Roman"/>
          <w:b/>
          <w:lang w:val="en-GB"/>
        </w:rPr>
      </w:pPr>
      <w:r w:rsidRPr="00283778">
        <w:rPr>
          <w:rFonts w:ascii="Times New Roman" w:hAnsi="Times New Roman"/>
          <w:b/>
          <w:lang w:val="en-GB"/>
        </w:rPr>
        <w:t>QUANTIFYING CHANGES IN FUTURE RISK OF LOSS</w:t>
      </w:r>
    </w:p>
    <w:p w14:paraId="2EA6FF84" w14:textId="77777777" w:rsidR="00F92BD5" w:rsidRDefault="00F92BD5" w:rsidP="00283778">
      <w:pPr>
        <w:spacing w:after="0" w:line="480" w:lineRule="auto"/>
        <w:rPr>
          <w:rFonts w:ascii="Times New Roman" w:hAnsi="Times New Roman"/>
          <w:lang w:val="en-GB"/>
        </w:rPr>
      </w:pPr>
    </w:p>
    <w:p w14:paraId="49D85C2C" w14:textId="71F0218B" w:rsidR="00283778" w:rsidRDefault="00283778" w:rsidP="00283778">
      <w:pPr>
        <w:spacing w:after="0" w:line="480" w:lineRule="auto"/>
        <w:rPr>
          <w:rFonts w:ascii="Times New Roman" w:hAnsi="Times New Roman"/>
          <w:lang w:val="en-GB"/>
        </w:rPr>
      </w:pPr>
      <w:r>
        <w:rPr>
          <w:rFonts w:ascii="Times New Roman" w:hAnsi="Times New Roman"/>
          <w:lang w:val="en-GB"/>
        </w:rPr>
        <w:t xml:space="preserve">In order to calculate the value of offsets that seek to place protective legal mechanisms on an area of land or sea, a risk assessment of these areas must be undertaken. The assessment needs to analyse the real and potential threats to the site and the value of a protective mechanism, such as a conservation covenant, in addressing these threats. To calculate this factor in the Guide, a risk of loss percentage is used for both a with-offset and without-offset scenario. The difference between the two risk of loss scores is the benefit the offset provides in averting a future foreseeable loss. Predicting land use change is complex, and there may be a wide range of data that are able to be drawn upon at various landscape scales to indicate development intent of a particular area (Verburg </w:t>
      </w:r>
      <w:r>
        <w:rPr>
          <w:rFonts w:ascii="Times New Roman" w:hAnsi="Times New Roman"/>
          <w:i/>
          <w:lang w:val="en-GB"/>
        </w:rPr>
        <w:t>et al.</w:t>
      </w:r>
      <w:r>
        <w:rPr>
          <w:rFonts w:ascii="Times New Roman" w:hAnsi="Times New Roman"/>
          <w:lang w:val="en-GB"/>
        </w:rPr>
        <w:t xml:space="preserve"> 2004). Potential scales and types of data that may be used in assessing the risk of loss to a particular site (Table </w:t>
      </w:r>
      <w:r w:rsidR="00F92BD5">
        <w:rPr>
          <w:rFonts w:ascii="Times New Roman" w:hAnsi="Times New Roman"/>
          <w:lang w:val="en-GB"/>
        </w:rPr>
        <w:t>S</w:t>
      </w:r>
      <w:r>
        <w:rPr>
          <w:rFonts w:ascii="Times New Roman" w:hAnsi="Times New Roman"/>
          <w:lang w:val="en-GB"/>
        </w:rPr>
        <w:t>1).</w:t>
      </w:r>
    </w:p>
    <w:p w14:paraId="0C54CFD1" w14:textId="77777777" w:rsidR="00283778" w:rsidRDefault="00283778" w:rsidP="00283778">
      <w:pPr>
        <w:spacing w:after="0" w:line="480" w:lineRule="auto"/>
        <w:ind w:firstLine="720"/>
        <w:rPr>
          <w:rFonts w:ascii="Times New Roman" w:hAnsi="Times New Roman"/>
          <w:lang w:val="en-GB"/>
        </w:rPr>
      </w:pPr>
      <w:r>
        <w:rPr>
          <w:rFonts w:ascii="Times New Roman" w:hAnsi="Times New Roman"/>
          <w:lang w:val="en-GB"/>
        </w:rPr>
        <w:t xml:space="preserve">The averted loss value of an offset is only contingent on its ability to protect habitat that is under threat. By estimating a future risk of loss based on various risk factors, the Guide is explicit in the value that such protection will provide for maintaining biodiversity. For example, protecting habitat that has a low baseline risk of loss may be more attractive to developers due to the lack of competing land uses, but its contribution to improving the conservation outcomes for a threatened species will be less than what would be delivered by protecting habitat that would otherwise be cleared in the near future. Further to this, the value of a legal protection mechanism is contingent on its ability to abate the potential risk that an offset site faces. Where a protection mechanism (such as a private conservation covenant) is insufficient to remove a key risk (such as a mineral exploration or extraction license), the Guide is explicit in assessing this, with no change in the risk of loss score in both the with-offset and without-offset scenario. </w:t>
      </w:r>
    </w:p>
    <w:p w14:paraId="2CB53182" w14:textId="77777777" w:rsidR="00283778" w:rsidRDefault="00283778" w:rsidP="00283778">
      <w:pPr>
        <w:spacing w:after="0" w:line="480" w:lineRule="auto"/>
        <w:ind w:firstLine="720"/>
        <w:rPr>
          <w:rFonts w:ascii="Times New Roman" w:hAnsi="Times New Roman"/>
          <w:lang w:val="en-GB"/>
        </w:rPr>
      </w:pPr>
    </w:p>
    <w:p w14:paraId="3E3924FD" w14:textId="77777777" w:rsidR="00283778" w:rsidRDefault="00283778" w:rsidP="00283778">
      <w:pPr>
        <w:spacing w:after="0" w:line="480" w:lineRule="auto"/>
        <w:ind w:firstLine="720"/>
        <w:rPr>
          <w:rFonts w:ascii="Times New Roman" w:hAnsi="Times New Roman"/>
          <w:lang w:val="en-GB"/>
        </w:rPr>
      </w:pPr>
    </w:p>
    <w:p w14:paraId="314CD2CE" w14:textId="14963430" w:rsidR="00283778" w:rsidRDefault="00283778" w:rsidP="00283778">
      <w:pPr>
        <w:spacing w:line="360" w:lineRule="auto"/>
        <w:rPr>
          <w:rFonts w:ascii="Times New Roman" w:hAnsi="Times New Roman"/>
        </w:rPr>
      </w:pPr>
      <w:r>
        <w:rPr>
          <w:rFonts w:ascii="Times New Roman" w:hAnsi="Times New Roman"/>
          <w:b/>
        </w:rPr>
        <w:lastRenderedPageBreak/>
        <w:t xml:space="preserve">Table </w:t>
      </w:r>
      <w:r w:rsidR="00F92BD5">
        <w:rPr>
          <w:rFonts w:ascii="Times New Roman" w:hAnsi="Times New Roman"/>
          <w:b/>
        </w:rPr>
        <w:t>S</w:t>
      </w:r>
      <w:r>
        <w:rPr>
          <w:rFonts w:ascii="Times New Roman" w:hAnsi="Times New Roman"/>
          <w:b/>
        </w:rPr>
        <w:t>1</w:t>
      </w:r>
      <w:r>
        <w:rPr>
          <w:rFonts w:ascii="Times New Roman" w:hAnsi="Times New Roman"/>
        </w:rPr>
        <w:t xml:space="preserve"> Sources and scale of information for assessing risk of loss in the Offsets Assessment Guide.</w:t>
      </w:r>
    </w:p>
    <w:tbl>
      <w:tblPr>
        <w:tblW w:w="0" w:type="auto"/>
        <w:jc w:val="center"/>
        <w:tblLayout w:type="fixed"/>
        <w:tblLook w:val="04A0" w:firstRow="1" w:lastRow="0" w:firstColumn="1" w:lastColumn="0" w:noHBand="0" w:noVBand="1"/>
      </w:tblPr>
      <w:tblGrid>
        <w:gridCol w:w="5424"/>
        <w:gridCol w:w="2985"/>
      </w:tblGrid>
      <w:tr w:rsidR="00283778" w14:paraId="4ECEC50B" w14:textId="77777777" w:rsidTr="00636CCB">
        <w:trPr>
          <w:trHeight w:val="414"/>
          <w:jc w:val="center"/>
        </w:trPr>
        <w:tc>
          <w:tcPr>
            <w:tcW w:w="5424" w:type="dxa"/>
            <w:vMerge w:val="restart"/>
            <w:tcBorders>
              <w:top w:val="double" w:sz="4" w:space="0" w:color="auto"/>
              <w:left w:val="nil"/>
              <w:bottom w:val="single" w:sz="4" w:space="0" w:color="auto"/>
              <w:right w:val="nil"/>
            </w:tcBorders>
            <w:hideMark/>
          </w:tcPr>
          <w:p w14:paraId="6B3FFAF4" w14:textId="77777777" w:rsidR="00283778" w:rsidRDefault="00283778">
            <w:pPr>
              <w:spacing w:line="240" w:lineRule="auto"/>
              <w:rPr>
                <w:rFonts w:ascii="Times New Roman" w:hAnsi="Times New Roman"/>
                <w:i/>
                <w:sz w:val="18"/>
                <w:szCs w:val="18"/>
              </w:rPr>
            </w:pPr>
            <w:r>
              <w:rPr>
                <w:rFonts w:ascii="Times New Roman" w:hAnsi="Times New Roman"/>
                <w:i/>
                <w:sz w:val="18"/>
                <w:szCs w:val="18"/>
              </w:rPr>
              <w:t>Risk factors</w:t>
            </w:r>
          </w:p>
        </w:tc>
        <w:tc>
          <w:tcPr>
            <w:tcW w:w="2985" w:type="dxa"/>
            <w:vMerge w:val="restart"/>
            <w:tcBorders>
              <w:top w:val="double" w:sz="4" w:space="0" w:color="auto"/>
              <w:left w:val="nil"/>
              <w:bottom w:val="single" w:sz="4" w:space="0" w:color="auto"/>
              <w:right w:val="nil"/>
            </w:tcBorders>
            <w:hideMark/>
          </w:tcPr>
          <w:p w14:paraId="108B65D8" w14:textId="77777777" w:rsidR="00283778" w:rsidRDefault="00283778">
            <w:pPr>
              <w:spacing w:line="240" w:lineRule="auto"/>
              <w:jc w:val="center"/>
              <w:rPr>
                <w:rFonts w:ascii="Times New Roman" w:hAnsi="Times New Roman"/>
                <w:i/>
                <w:sz w:val="18"/>
                <w:szCs w:val="18"/>
              </w:rPr>
            </w:pPr>
            <w:r>
              <w:rPr>
                <w:rFonts w:ascii="Times New Roman" w:hAnsi="Times New Roman"/>
                <w:i/>
                <w:sz w:val="18"/>
                <w:szCs w:val="18"/>
              </w:rPr>
              <w:t>Data specificity</w:t>
            </w:r>
          </w:p>
        </w:tc>
      </w:tr>
      <w:tr w:rsidR="00283778" w14:paraId="4A52E014" w14:textId="77777777" w:rsidTr="00636CCB">
        <w:trPr>
          <w:trHeight w:val="414"/>
          <w:jc w:val="center"/>
        </w:trPr>
        <w:tc>
          <w:tcPr>
            <w:tcW w:w="5424" w:type="dxa"/>
            <w:vMerge/>
            <w:tcBorders>
              <w:left w:val="nil"/>
              <w:bottom w:val="single" w:sz="4" w:space="0" w:color="auto"/>
              <w:right w:val="nil"/>
            </w:tcBorders>
            <w:vAlign w:val="center"/>
            <w:hideMark/>
          </w:tcPr>
          <w:p w14:paraId="6D6A0BF6" w14:textId="77777777" w:rsidR="00283778" w:rsidRDefault="00283778">
            <w:pPr>
              <w:spacing w:after="0" w:line="240" w:lineRule="auto"/>
              <w:rPr>
                <w:rFonts w:ascii="Times New Roman" w:hAnsi="Times New Roman"/>
                <w:i/>
                <w:sz w:val="18"/>
                <w:szCs w:val="18"/>
              </w:rPr>
            </w:pPr>
          </w:p>
        </w:tc>
        <w:tc>
          <w:tcPr>
            <w:tcW w:w="2985" w:type="dxa"/>
            <w:vMerge/>
            <w:tcBorders>
              <w:left w:val="nil"/>
              <w:bottom w:val="single" w:sz="4" w:space="0" w:color="auto"/>
              <w:right w:val="nil"/>
            </w:tcBorders>
            <w:vAlign w:val="center"/>
            <w:hideMark/>
          </w:tcPr>
          <w:p w14:paraId="1859DBD3" w14:textId="77777777" w:rsidR="00283778" w:rsidRDefault="00283778">
            <w:pPr>
              <w:spacing w:after="0" w:line="240" w:lineRule="auto"/>
              <w:rPr>
                <w:rFonts w:ascii="Times New Roman" w:hAnsi="Times New Roman"/>
                <w:i/>
                <w:sz w:val="18"/>
                <w:szCs w:val="18"/>
              </w:rPr>
            </w:pPr>
          </w:p>
        </w:tc>
      </w:tr>
      <w:tr w:rsidR="00283778" w14:paraId="7946B3AE" w14:textId="77777777" w:rsidTr="00283778">
        <w:trPr>
          <w:trHeight w:val="533"/>
          <w:jc w:val="center"/>
        </w:trPr>
        <w:tc>
          <w:tcPr>
            <w:tcW w:w="5424" w:type="dxa"/>
            <w:tcBorders>
              <w:top w:val="single" w:sz="4" w:space="0" w:color="auto"/>
              <w:left w:val="nil"/>
              <w:bottom w:val="nil"/>
              <w:right w:val="nil"/>
            </w:tcBorders>
          </w:tcPr>
          <w:p w14:paraId="686B4278" w14:textId="77777777" w:rsidR="00283778" w:rsidRDefault="00283778">
            <w:pPr>
              <w:spacing w:line="240" w:lineRule="auto"/>
              <w:ind w:left="358" w:hanging="358"/>
              <w:rPr>
                <w:rFonts w:ascii="Times New Roman" w:hAnsi="Times New Roman"/>
                <w:sz w:val="18"/>
                <w:szCs w:val="18"/>
              </w:rPr>
            </w:pPr>
            <w:r>
              <w:rPr>
                <w:rFonts w:ascii="Times New Roman" w:hAnsi="Times New Roman"/>
                <w:sz w:val="18"/>
                <w:szCs w:val="18"/>
              </w:rPr>
              <w:t>Development applications, approvals demonstrating clear development intent of a specific site</w:t>
            </w:r>
          </w:p>
          <w:p w14:paraId="75E1E250" w14:textId="77777777" w:rsidR="00283778" w:rsidRDefault="00283778">
            <w:pPr>
              <w:spacing w:line="240" w:lineRule="auto"/>
              <w:ind w:left="358" w:hanging="358"/>
              <w:rPr>
                <w:rFonts w:ascii="Times New Roman" w:hAnsi="Times New Roman"/>
                <w:sz w:val="18"/>
                <w:szCs w:val="18"/>
              </w:rPr>
            </w:pPr>
          </w:p>
        </w:tc>
        <w:tc>
          <w:tcPr>
            <w:tcW w:w="2985" w:type="dxa"/>
            <w:tcBorders>
              <w:top w:val="single" w:sz="4" w:space="0" w:color="auto"/>
              <w:left w:val="nil"/>
              <w:bottom w:val="nil"/>
              <w:right w:val="nil"/>
            </w:tcBorders>
          </w:tcPr>
          <w:p w14:paraId="75B40667" w14:textId="77777777" w:rsidR="00283778" w:rsidRDefault="00283778">
            <w:pPr>
              <w:spacing w:line="240" w:lineRule="auto"/>
              <w:rPr>
                <w:rFonts w:ascii="Times New Roman" w:hAnsi="Times New Roman"/>
                <w:sz w:val="18"/>
                <w:szCs w:val="18"/>
              </w:rPr>
            </w:pPr>
            <w:r>
              <w:rPr>
                <w:rFonts w:ascii="Times New Roman" w:hAnsi="Times New Roman"/>
                <w:sz w:val="18"/>
                <w:szCs w:val="18"/>
              </w:rPr>
              <w:t>Highly site specific</w:t>
            </w:r>
          </w:p>
          <w:p w14:paraId="16669AA0" w14:textId="77777777" w:rsidR="00283778" w:rsidRDefault="00283778">
            <w:pPr>
              <w:pStyle w:val="ListBullet"/>
              <w:numPr>
                <w:ilvl w:val="0"/>
                <w:numId w:val="0"/>
              </w:numPr>
              <w:spacing w:line="240" w:lineRule="auto"/>
              <w:ind w:left="369" w:hanging="369"/>
              <w:rPr>
                <w:rFonts w:ascii="Times New Roman" w:hAnsi="Times New Roman"/>
                <w:sz w:val="18"/>
                <w:szCs w:val="18"/>
              </w:rPr>
            </w:pPr>
          </w:p>
        </w:tc>
      </w:tr>
      <w:tr w:rsidR="00283778" w14:paraId="674579E8" w14:textId="77777777" w:rsidTr="00283778">
        <w:trPr>
          <w:trHeight w:val="491"/>
          <w:jc w:val="center"/>
        </w:trPr>
        <w:tc>
          <w:tcPr>
            <w:tcW w:w="5424" w:type="dxa"/>
          </w:tcPr>
          <w:p w14:paraId="286805F6" w14:textId="77777777" w:rsidR="00283778" w:rsidRDefault="00283778">
            <w:pPr>
              <w:spacing w:line="240" w:lineRule="auto"/>
              <w:ind w:left="358" w:hanging="358"/>
              <w:rPr>
                <w:rFonts w:ascii="Times New Roman" w:hAnsi="Times New Roman"/>
                <w:sz w:val="18"/>
                <w:szCs w:val="18"/>
              </w:rPr>
            </w:pPr>
            <w:r>
              <w:rPr>
                <w:rFonts w:ascii="Times New Roman" w:hAnsi="Times New Roman"/>
                <w:sz w:val="18"/>
                <w:szCs w:val="18"/>
              </w:rPr>
              <w:t>Zoning, leases and broad planning instruments that demonstrate possible development intent</w:t>
            </w:r>
          </w:p>
          <w:p w14:paraId="39B969A3" w14:textId="77777777" w:rsidR="00283778" w:rsidRDefault="00283778">
            <w:pPr>
              <w:spacing w:line="240" w:lineRule="auto"/>
              <w:ind w:left="358" w:hanging="358"/>
              <w:rPr>
                <w:rFonts w:ascii="Times New Roman" w:hAnsi="Times New Roman"/>
                <w:sz w:val="18"/>
                <w:szCs w:val="18"/>
              </w:rPr>
            </w:pPr>
          </w:p>
        </w:tc>
        <w:tc>
          <w:tcPr>
            <w:tcW w:w="2985" w:type="dxa"/>
          </w:tcPr>
          <w:p w14:paraId="19165FB2" w14:textId="77777777" w:rsidR="00283778" w:rsidRDefault="00283778">
            <w:pPr>
              <w:spacing w:line="240" w:lineRule="auto"/>
              <w:rPr>
                <w:rFonts w:ascii="Times New Roman" w:hAnsi="Times New Roman"/>
                <w:sz w:val="18"/>
                <w:szCs w:val="18"/>
              </w:rPr>
            </w:pPr>
            <w:r>
              <w:rPr>
                <w:rFonts w:ascii="Times New Roman" w:hAnsi="Times New Roman"/>
                <w:sz w:val="18"/>
                <w:szCs w:val="18"/>
              </w:rPr>
              <w:t>Site specific</w:t>
            </w:r>
          </w:p>
          <w:p w14:paraId="0A61DC1A" w14:textId="77777777" w:rsidR="00283778" w:rsidRDefault="00283778">
            <w:pPr>
              <w:spacing w:line="240" w:lineRule="auto"/>
              <w:rPr>
                <w:rFonts w:ascii="Times New Roman" w:hAnsi="Times New Roman"/>
                <w:sz w:val="18"/>
                <w:szCs w:val="18"/>
              </w:rPr>
            </w:pPr>
          </w:p>
        </w:tc>
      </w:tr>
      <w:tr w:rsidR="00283778" w14:paraId="4DBADBDE" w14:textId="77777777" w:rsidTr="00636CCB">
        <w:trPr>
          <w:trHeight w:val="631"/>
          <w:jc w:val="center"/>
        </w:trPr>
        <w:tc>
          <w:tcPr>
            <w:tcW w:w="5424" w:type="dxa"/>
          </w:tcPr>
          <w:p w14:paraId="6F62966A" w14:textId="77777777" w:rsidR="00283778" w:rsidRDefault="00283778">
            <w:pPr>
              <w:spacing w:line="240" w:lineRule="auto"/>
              <w:ind w:left="358" w:hanging="358"/>
              <w:rPr>
                <w:rFonts w:ascii="Times New Roman" w:hAnsi="Times New Roman"/>
                <w:sz w:val="18"/>
                <w:szCs w:val="18"/>
              </w:rPr>
            </w:pPr>
            <w:r>
              <w:rPr>
                <w:rFonts w:ascii="Times New Roman" w:hAnsi="Times New Roman"/>
                <w:sz w:val="18"/>
                <w:szCs w:val="18"/>
              </w:rPr>
              <w:t>Geophysical, economic or social data that indicates likely impacts on the site</w:t>
            </w:r>
          </w:p>
          <w:p w14:paraId="3431583F" w14:textId="77777777" w:rsidR="00283778" w:rsidRDefault="00283778">
            <w:pPr>
              <w:spacing w:line="240" w:lineRule="auto"/>
              <w:ind w:left="358" w:hanging="358"/>
              <w:rPr>
                <w:rFonts w:ascii="Times New Roman" w:hAnsi="Times New Roman"/>
                <w:sz w:val="18"/>
                <w:szCs w:val="18"/>
              </w:rPr>
            </w:pPr>
          </w:p>
        </w:tc>
        <w:tc>
          <w:tcPr>
            <w:tcW w:w="2985" w:type="dxa"/>
            <w:hideMark/>
          </w:tcPr>
          <w:p w14:paraId="6413268D" w14:textId="77777777" w:rsidR="00283778" w:rsidRDefault="00283778">
            <w:pPr>
              <w:spacing w:line="240" w:lineRule="auto"/>
              <w:rPr>
                <w:rFonts w:ascii="Times New Roman" w:hAnsi="Times New Roman"/>
                <w:sz w:val="18"/>
                <w:szCs w:val="18"/>
              </w:rPr>
            </w:pPr>
            <w:r>
              <w:rPr>
                <w:rFonts w:ascii="Times New Roman" w:hAnsi="Times New Roman"/>
                <w:sz w:val="18"/>
                <w:szCs w:val="18"/>
              </w:rPr>
              <w:t>Regional scale</w:t>
            </w:r>
          </w:p>
        </w:tc>
      </w:tr>
      <w:tr w:rsidR="00283778" w14:paraId="3413727C" w14:textId="77777777" w:rsidTr="00636CCB">
        <w:trPr>
          <w:trHeight w:val="272"/>
          <w:jc w:val="center"/>
        </w:trPr>
        <w:tc>
          <w:tcPr>
            <w:tcW w:w="5424" w:type="dxa"/>
            <w:tcBorders>
              <w:top w:val="nil"/>
              <w:left w:val="nil"/>
              <w:bottom w:val="double" w:sz="4" w:space="0" w:color="auto"/>
              <w:right w:val="nil"/>
            </w:tcBorders>
          </w:tcPr>
          <w:p w14:paraId="1491BC07" w14:textId="77777777" w:rsidR="00283778" w:rsidRDefault="00283778">
            <w:pPr>
              <w:spacing w:line="240" w:lineRule="auto"/>
              <w:ind w:left="358" w:hanging="358"/>
              <w:rPr>
                <w:rFonts w:ascii="Times New Roman" w:hAnsi="Times New Roman"/>
                <w:sz w:val="18"/>
                <w:szCs w:val="18"/>
              </w:rPr>
            </w:pPr>
            <w:r>
              <w:rPr>
                <w:rFonts w:ascii="Times New Roman" w:hAnsi="Times New Roman"/>
                <w:sz w:val="18"/>
                <w:szCs w:val="18"/>
              </w:rPr>
              <w:t>Background rates of loss of similar vegetation / ecosystem types</w:t>
            </w:r>
          </w:p>
          <w:p w14:paraId="35E70CFE" w14:textId="77777777" w:rsidR="00283778" w:rsidRDefault="00283778">
            <w:pPr>
              <w:spacing w:line="240" w:lineRule="auto"/>
              <w:ind w:left="358" w:hanging="358"/>
              <w:rPr>
                <w:rFonts w:ascii="Times New Roman" w:hAnsi="Times New Roman"/>
                <w:sz w:val="18"/>
                <w:szCs w:val="18"/>
              </w:rPr>
            </w:pPr>
          </w:p>
        </w:tc>
        <w:tc>
          <w:tcPr>
            <w:tcW w:w="2985" w:type="dxa"/>
            <w:tcBorders>
              <w:top w:val="nil"/>
              <w:left w:val="nil"/>
              <w:bottom w:val="double" w:sz="4" w:space="0" w:color="auto"/>
              <w:right w:val="nil"/>
            </w:tcBorders>
          </w:tcPr>
          <w:p w14:paraId="7BEA4BCE" w14:textId="77777777" w:rsidR="00283778" w:rsidRDefault="00283778">
            <w:pPr>
              <w:spacing w:line="240" w:lineRule="auto"/>
              <w:rPr>
                <w:rFonts w:ascii="Times New Roman" w:hAnsi="Times New Roman"/>
                <w:sz w:val="18"/>
                <w:szCs w:val="18"/>
              </w:rPr>
            </w:pPr>
            <w:r>
              <w:rPr>
                <w:rFonts w:ascii="Times New Roman" w:hAnsi="Times New Roman"/>
                <w:sz w:val="18"/>
                <w:szCs w:val="18"/>
              </w:rPr>
              <w:t xml:space="preserve">Bioregional / ecosystem distribution scale </w:t>
            </w:r>
          </w:p>
          <w:p w14:paraId="666B0E60" w14:textId="77777777" w:rsidR="00283778" w:rsidRDefault="00283778">
            <w:pPr>
              <w:spacing w:line="240" w:lineRule="auto"/>
              <w:rPr>
                <w:rFonts w:ascii="Times New Roman" w:hAnsi="Times New Roman"/>
                <w:sz w:val="18"/>
                <w:szCs w:val="18"/>
              </w:rPr>
            </w:pPr>
          </w:p>
        </w:tc>
      </w:tr>
    </w:tbl>
    <w:p w14:paraId="691BD151" w14:textId="77777777" w:rsidR="00283778" w:rsidRDefault="00283778" w:rsidP="00283778">
      <w:pPr>
        <w:spacing w:line="360" w:lineRule="auto"/>
        <w:rPr>
          <w:rFonts w:ascii="Times New Roman" w:hAnsi="Times New Roman"/>
          <w:sz w:val="24"/>
          <w:szCs w:val="24"/>
        </w:rPr>
      </w:pPr>
    </w:p>
    <w:p w14:paraId="6B39FB32" w14:textId="77777777" w:rsidR="00283778" w:rsidRDefault="00283778" w:rsidP="00283778"/>
    <w:p w14:paraId="5CBEBCC1" w14:textId="77777777" w:rsidR="00283778" w:rsidRPr="00F92BD5" w:rsidRDefault="00283778" w:rsidP="00283778">
      <w:pPr>
        <w:spacing w:after="0" w:line="480" w:lineRule="auto"/>
        <w:rPr>
          <w:rFonts w:ascii="Times New Roman" w:hAnsi="Times New Roman"/>
          <w:b/>
          <w:lang w:val="en-GB"/>
        </w:rPr>
      </w:pPr>
      <w:r w:rsidRPr="00F92BD5">
        <w:rPr>
          <w:rFonts w:ascii="Times New Roman" w:hAnsi="Times New Roman"/>
          <w:b/>
          <w:lang w:val="en-GB"/>
        </w:rPr>
        <w:t xml:space="preserve">SELECTION OF A DISCOUNT RATE TO ACCOUNT FOR SPECIES RISK OF EXTINCTION </w:t>
      </w:r>
    </w:p>
    <w:p w14:paraId="54EDFE85" w14:textId="77777777" w:rsidR="00F92BD5" w:rsidRDefault="00F92BD5" w:rsidP="00283778">
      <w:pPr>
        <w:spacing w:after="0" w:line="480" w:lineRule="auto"/>
        <w:rPr>
          <w:rFonts w:ascii="Times New Roman" w:hAnsi="Times New Roman"/>
          <w:lang w:val="en-GB"/>
        </w:rPr>
      </w:pPr>
    </w:p>
    <w:p w14:paraId="1C5C0D9C" w14:textId="77777777" w:rsidR="00283778" w:rsidRDefault="00283778" w:rsidP="00283778">
      <w:pPr>
        <w:spacing w:after="0" w:line="480" w:lineRule="auto"/>
        <w:rPr>
          <w:rFonts w:ascii="Times New Roman" w:hAnsi="Times New Roman"/>
          <w:lang w:val="en-GB"/>
        </w:rPr>
      </w:pPr>
      <w:r>
        <w:rPr>
          <w:rFonts w:ascii="Times New Roman" w:hAnsi="Times New Roman"/>
          <w:lang w:val="en-GB"/>
        </w:rPr>
        <w:t xml:space="preserve">The </w:t>
      </w:r>
      <w:r>
        <w:rPr>
          <w:rFonts w:ascii="Times New Roman" w:hAnsi="Times New Roman"/>
          <w:iCs/>
          <w:lang w:val="en-GB"/>
        </w:rPr>
        <w:t>annual probability of extinction</w:t>
      </w:r>
      <w:r>
        <w:rPr>
          <w:rFonts w:ascii="Times New Roman" w:hAnsi="Times New Roman"/>
          <w:i/>
          <w:iCs/>
          <w:lang w:val="en-GB"/>
        </w:rPr>
        <w:t xml:space="preserve"> </w:t>
      </w:r>
      <w:r>
        <w:rPr>
          <w:rFonts w:ascii="Times New Roman" w:hAnsi="Times New Roman"/>
          <w:lang w:val="en-GB"/>
        </w:rPr>
        <w:t xml:space="preserve">is an estimate of the average chance that a species or ecological community will be completely lost in the wild each year, given recent rates of decline. Separating the estimated extinction rates for vulnerable, endangered and critically endangered species and ecological communities listed under the EPBC Act acknowledges that the threats facing the protected matters in a higher threat category are at higher risk of extinction over the shorter term. As such, the ecological impacts of time lags between impact and offset delivery are considered relatively greater for a critically endangered species or community than one which is listed as endangered or vulnerable. </w:t>
      </w:r>
    </w:p>
    <w:p w14:paraId="1282D6D1" w14:textId="3EA3158B" w:rsidR="00283778" w:rsidRDefault="00283778" w:rsidP="00283778">
      <w:pPr>
        <w:widowControl w:val="0"/>
        <w:autoSpaceDE w:val="0"/>
        <w:autoSpaceDN w:val="0"/>
        <w:adjustRightInd w:val="0"/>
        <w:spacing w:after="0" w:line="480" w:lineRule="auto"/>
        <w:ind w:firstLine="720"/>
        <w:rPr>
          <w:rFonts w:ascii="Times New Roman" w:hAnsi="Times New Roman"/>
          <w:lang w:val="en-GB"/>
        </w:rPr>
      </w:pPr>
      <w:r>
        <w:rPr>
          <w:rFonts w:ascii="Times New Roman" w:hAnsi="Times New Roman"/>
          <w:lang w:val="en-GB"/>
        </w:rPr>
        <w:t>Similar to the USA’s Endangered Species Act (</w:t>
      </w:r>
      <w:r w:rsidR="00C879A9">
        <w:rPr>
          <w:rFonts w:ascii="Times New Roman" w:hAnsi="Times New Roman"/>
          <w:lang w:val="en-GB"/>
        </w:rPr>
        <w:t>US Senate 2002</w:t>
      </w:r>
      <w:r>
        <w:rPr>
          <w:rFonts w:ascii="Times New Roman" w:hAnsi="Times New Roman"/>
          <w:lang w:val="en-GB"/>
        </w:rPr>
        <w:t xml:space="preserve">), there are currently no guidelines under the EPBC Act which quantify the probability of extinction for species listed under different threat categories (Regan </w:t>
      </w:r>
      <w:r>
        <w:rPr>
          <w:rFonts w:ascii="Times New Roman" w:hAnsi="Times New Roman"/>
          <w:i/>
          <w:lang w:val="en-GB"/>
        </w:rPr>
        <w:t>et al.</w:t>
      </w:r>
      <w:r>
        <w:rPr>
          <w:rFonts w:ascii="Times New Roman" w:hAnsi="Times New Roman"/>
          <w:lang w:val="en-GB"/>
        </w:rPr>
        <w:t xml:space="preserve"> 2013). We therefore adopted the IUCN (2001) criteria for each threatened species category (Table 3), and calculated the annual probability of extinction in the wild </w:t>
      </w:r>
      <w:r>
        <w:rPr>
          <w:rFonts w:ascii="Times New Roman" w:hAnsi="Times New Roman"/>
          <w:i/>
          <w:lang w:val="en-GB"/>
        </w:rPr>
        <w:t>p</w:t>
      </w:r>
      <w:r>
        <w:rPr>
          <w:rFonts w:ascii="Times New Roman" w:hAnsi="Times New Roman"/>
          <w:lang w:val="en-GB"/>
        </w:rPr>
        <w:t xml:space="preserve"> taking the geometric mean:</w:t>
      </w:r>
    </w:p>
    <w:p w14:paraId="4077CBCB" w14:textId="77777777" w:rsidR="00283778" w:rsidRDefault="00283778" w:rsidP="00283778">
      <w:pPr>
        <w:widowControl w:val="0"/>
        <w:autoSpaceDE w:val="0"/>
        <w:autoSpaceDN w:val="0"/>
        <w:adjustRightInd w:val="0"/>
        <w:spacing w:after="0" w:line="480" w:lineRule="auto"/>
        <w:ind w:firstLine="720"/>
        <w:rPr>
          <w:rFonts w:ascii="Times New Roman" w:hAnsi="Times New Roman"/>
          <w:lang w:val="en-GB"/>
        </w:rPr>
      </w:pPr>
      <w:r>
        <w:rPr>
          <w:rFonts w:ascii="Times New Roman" w:hAnsi="Times New Roman"/>
          <w:position w:val="-10"/>
          <w:lang w:val="en-GB"/>
        </w:rPr>
        <w:object w:dxaOrig="1110" w:dyaOrig="390" w14:anchorId="7D6B8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9.5pt" o:ole="">
            <v:imagedata r:id="rId11" o:title=""/>
          </v:shape>
          <o:OLEObject Type="Embed" ProgID="Equation.3" ShapeID="_x0000_i1025" DrawAspect="Content" ObjectID="_1478696729" r:id="rId12"/>
        </w:object>
      </w:r>
      <w:r>
        <w:rPr>
          <w:rFonts w:ascii="Times New Roman" w:hAnsi="Times New Roman"/>
          <w:lang w:val="en-GB"/>
        </w:rPr>
        <w:t xml:space="preserve">, </w:t>
      </w:r>
    </w:p>
    <w:p w14:paraId="4ED2099B" w14:textId="77777777" w:rsidR="00283778" w:rsidRDefault="00283778" w:rsidP="00283778">
      <w:pPr>
        <w:spacing w:after="0" w:line="480" w:lineRule="auto"/>
        <w:rPr>
          <w:rFonts w:ascii="Times New Roman" w:hAnsi="Times New Roman"/>
          <w:lang w:val="en-GB"/>
        </w:rPr>
      </w:pPr>
      <w:r>
        <w:rPr>
          <w:rFonts w:ascii="Times New Roman" w:hAnsi="Times New Roman"/>
          <w:lang w:val="en-GB"/>
        </w:rPr>
        <w:t xml:space="preserve">where </w:t>
      </w:r>
      <w:r>
        <w:rPr>
          <w:rFonts w:ascii="Times New Roman" w:hAnsi="Times New Roman"/>
          <w:i/>
          <w:lang w:val="en-GB"/>
        </w:rPr>
        <w:t>P</w:t>
      </w:r>
      <w:r>
        <w:rPr>
          <w:rFonts w:ascii="Times New Roman" w:hAnsi="Times New Roman"/>
          <w:lang w:val="en-GB"/>
        </w:rPr>
        <w:t xml:space="preserve"> is the minimum probability of extinction in </w:t>
      </w:r>
      <w:r>
        <w:rPr>
          <w:rFonts w:ascii="Times New Roman" w:hAnsi="Times New Roman"/>
          <w:i/>
          <w:lang w:val="en-GB"/>
        </w:rPr>
        <w:t>T</w:t>
      </w:r>
      <w:r>
        <w:rPr>
          <w:rFonts w:ascii="Times New Roman" w:hAnsi="Times New Roman"/>
          <w:lang w:val="en-GB"/>
        </w:rPr>
        <w:t xml:space="preserve"> years. </w:t>
      </w:r>
    </w:p>
    <w:p w14:paraId="6AC7577F" w14:textId="77777777" w:rsidR="00283778" w:rsidRDefault="00283778" w:rsidP="00283778">
      <w:pPr>
        <w:spacing w:after="0" w:line="480" w:lineRule="auto"/>
        <w:ind w:firstLine="720"/>
        <w:rPr>
          <w:rFonts w:ascii="Times New Roman" w:hAnsi="Times New Roman"/>
          <w:lang w:val="en-GB"/>
        </w:rPr>
      </w:pPr>
      <w:r>
        <w:rPr>
          <w:rFonts w:ascii="Times New Roman" w:hAnsi="Times New Roman"/>
          <w:lang w:val="en-GB"/>
        </w:rPr>
        <w:t xml:space="preserve">The final annual discount rate </w:t>
      </w:r>
      <w:r>
        <w:rPr>
          <w:rFonts w:ascii="Times New Roman" w:hAnsi="Times New Roman"/>
          <w:i/>
          <w:lang w:val="en-GB"/>
        </w:rPr>
        <w:t>r</w:t>
      </w:r>
      <w:r>
        <w:rPr>
          <w:rFonts w:ascii="Times New Roman" w:hAnsi="Times New Roman"/>
          <w:lang w:val="en-GB"/>
        </w:rPr>
        <w:t xml:space="preserve"> was found by adding a 0.1% to </w:t>
      </w:r>
      <w:r>
        <w:rPr>
          <w:rFonts w:ascii="Times New Roman" w:hAnsi="Times New Roman"/>
          <w:i/>
          <w:lang w:val="en-GB"/>
        </w:rPr>
        <w:t>p</w:t>
      </w:r>
      <w:r>
        <w:rPr>
          <w:rFonts w:ascii="Times New Roman" w:hAnsi="Times New Roman"/>
          <w:lang w:val="en-GB"/>
        </w:rPr>
        <w:t xml:space="preserve"> to account for the risk of catastrophic events such as severe bushfire, flooding and weather events:</w:t>
      </w:r>
    </w:p>
    <w:p w14:paraId="7C749B51" w14:textId="77777777" w:rsidR="00283778" w:rsidRDefault="00283778" w:rsidP="00283778">
      <w:pPr>
        <w:spacing w:after="0" w:line="480" w:lineRule="auto"/>
        <w:ind w:firstLine="720"/>
        <w:rPr>
          <w:rFonts w:ascii="Times New Roman" w:hAnsi="Times New Roman"/>
          <w:lang w:val="en-GB"/>
        </w:rPr>
      </w:pPr>
      <w:r>
        <w:rPr>
          <w:rFonts w:ascii="Times New Roman" w:hAnsi="Times New Roman"/>
          <w:position w:val="-10"/>
          <w:lang w:val="en-GB"/>
        </w:rPr>
        <w:object w:dxaOrig="1215" w:dyaOrig="330" w14:anchorId="21E901A7">
          <v:shape id="_x0000_i1026" type="#_x0000_t75" style="width:60.75pt;height:15.75pt" o:ole="">
            <v:imagedata r:id="rId13" o:title=""/>
          </v:shape>
          <o:OLEObject Type="Embed" ProgID="Equation.3" ShapeID="_x0000_i1026" DrawAspect="Content" ObjectID="_1478696730" r:id="rId14"/>
        </w:object>
      </w:r>
      <w:r>
        <w:rPr>
          <w:rFonts w:ascii="Times New Roman" w:hAnsi="Times New Roman"/>
          <w:lang w:val="en-GB"/>
        </w:rPr>
        <w:t>.</w:t>
      </w:r>
    </w:p>
    <w:p w14:paraId="37E2BE7A" w14:textId="4763D0BE" w:rsidR="00283778" w:rsidRDefault="00283778" w:rsidP="00283778">
      <w:pPr>
        <w:spacing w:after="0" w:line="480" w:lineRule="auto"/>
        <w:rPr>
          <w:rFonts w:ascii="Times New Roman" w:hAnsi="Times New Roman"/>
          <w:lang w:val="en-GB"/>
        </w:rPr>
      </w:pPr>
      <w:r>
        <w:rPr>
          <w:rFonts w:ascii="Times New Roman" w:hAnsi="Times New Roman"/>
          <w:lang w:val="en-GB"/>
        </w:rPr>
        <w:t>Where there is peer reviewed scientific evidence that a species or ecological community has a different annual probability of extinction to that of its IUCN criteria, then that alternative figure may be used.</w:t>
      </w:r>
      <w:r w:rsidR="001D1C8D">
        <w:rPr>
          <w:rFonts w:ascii="Times New Roman" w:hAnsi="Times New Roman"/>
          <w:lang w:val="en-GB"/>
        </w:rPr>
        <w:t xml:space="preserve"> </w:t>
      </w:r>
      <w:r w:rsidR="001D1C8D">
        <w:rPr>
          <w:rFonts w:ascii="Times New Roman" w:hAnsi="Times New Roman"/>
          <w:lang w:val="en-GB"/>
        </w:rPr>
        <w:br/>
      </w:r>
    </w:p>
    <w:p w14:paraId="10B20F23" w14:textId="77777777" w:rsidR="00BC700A" w:rsidRPr="005E6F82" w:rsidRDefault="00BC700A" w:rsidP="00BC700A">
      <w:pPr>
        <w:spacing w:line="360" w:lineRule="auto"/>
        <w:rPr>
          <w:rFonts w:ascii="Times New Roman" w:hAnsi="Times New Roman"/>
          <w:b/>
          <w:lang w:val="en-GB"/>
        </w:rPr>
      </w:pPr>
      <w:r w:rsidRPr="005E6F82">
        <w:rPr>
          <w:rFonts w:ascii="Times New Roman" w:hAnsi="Times New Roman"/>
          <w:b/>
          <w:lang w:val="en-GB"/>
        </w:rPr>
        <w:t>ALTERNATIVE CALCULATIONS FOR ADJUSTED HECTARES CURRENCY</w:t>
      </w:r>
    </w:p>
    <w:p w14:paraId="3AFF2FD5" w14:textId="77777777" w:rsidR="00F92BD5" w:rsidRPr="005E6F82" w:rsidRDefault="00F92BD5" w:rsidP="00BC700A">
      <w:pPr>
        <w:spacing w:line="360" w:lineRule="auto"/>
        <w:rPr>
          <w:rFonts w:ascii="Times New Roman" w:hAnsi="Times New Roman"/>
          <w:lang w:val="en-GB"/>
        </w:rPr>
      </w:pPr>
    </w:p>
    <w:p w14:paraId="5D153295" w14:textId="77777777" w:rsidR="00BC700A" w:rsidRPr="005E6F82" w:rsidRDefault="00BC700A" w:rsidP="005E6F82">
      <w:pPr>
        <w:spacing w:after="0" w:line="480" w:lineRule="auto"/>
        <w:rPr>
          <w:rFonts w:ascii="Times New Roman" w:hAnsi="Times New Roman"/>
          <w:lang w:val="en-GB"/>
        </w:rPr>
      </w:pPr>
      <w:r w:rsidRPr="005E6F82">
        <w:rPr>
          <w:rFonts w:ascii="Times New Roman" w:hAnsi="Times New Roman"/>
          <w:lang w:val="en-GB"/>
        </w:rPr>
        <w:t xml:space="preserve">Because of limited information regarding population viability or specific threats to species, area adjusted for either habitat quality (for fauna species) or vegetation condition (for ecological plant communities) are the most frequently used currencies in the </w:t>
      </w:r>
      <w:r w:rsidR="00F23FDD" w:rsidRPr="005E6F82">
        <w:rPr>
          <w:rFonts w:ascii="Times New Roman" w:hAnsi="Times New Roman"/>
          <w:lang w:val="en-GB"/>
        </w:rPr>
        <w:t>Guide</w:t>
      </w:r>
      <w:r w:rsidRPr="005E6F82">
        <w:rPr>
          <w:rFonts w:ascii="Times New Roman" w:hAnsi="Times New Roman"/>
          <w:lang w:val="en-GB"/>
        </w:rPr>
        <w:t>:</w:t>
      </w:r>
    </w:p>
    <w:p w14:paraId="114268AE" w14:textId="77777777" w:rsidR="00BC700A" w:rsidRPr="005E6F82" w:rsidRDefault="00BC700A" w:rsidP="005E6F82">
      <w:pPr>
        <w:spacing w:after="0" w:line="480" w:lineRule="auto"/>
        <w:rPr>
          <w:rFonts w:ascii="Times New Roman" w:hAnsi="Times New Roman"/>
          <w:lang w:val="en-GB"/>
        </w:rPr>
      </w:pPr>
      <m:oMathPara>
        <m:oMath>
          <m:r>
            <w:rPr>
              <w:rFonts w:ascii="Cambria Math" w:hAnsi="Cambria Math"/>
              <w:lang w:val="en-GB"/>
            </w:rPr>
            <m:t>Adjusted Area=</m:t>
          </m:r>
          <m:f>
            <m:fPr>
              <m:ctrlPr>
                <w:rPr>
                  <w:rFonts w:ascii="Cambria Math" w:hAnsi="Cambria Math"/>
                  <w:i/>
                  <w:lang w:val="en-GB"/>
                </w:rPr>
              </m:ctrlPr>
            </m:fPr>
            <m:num>
              <m:r>
                <w:rPr>
                  <w:rFonts w:ascii="Cambria Math" w:hAnsi="Cambria Math"/>
                  <w:lang w:val="en-GB"/>
                </w:rPr>
                <m:t>Actual habitat quality</m:t>
              </m:r>
            </m:num>
            <m:den>
              <m:r>
                <w:rPr>
                  <w:rFonts w:ascii="Cambria Math" w:hAnsi="Cambria Math"/>
                  <w:lang w:val="en-GB"/>
                </w:rPr>
                <m:t>Highest possible habitat  quality</m:t>
              </m:r>
            </m:den>
          </m:f>
          <m:r>
            <w:rPr>
              <w:rFonts w:ascii="Cambria Math" w:hAnsi="Cambria Math"/>
              <w:lang w:val="en-GB"/>
            </w:rPr>
            <m:t xml:space="preserve">  × Area </m:t>
          </m:r>
          <m:d>
            <m:dPr>
              <m:ctrlPr>
                <w:rPr>
                  <w:rFonts w:ascii="Cambria Math" w:hAnsi="Cambria Math"/>
                  <w:i/>
                  <w:lang w:val="en-GB"/>
                </w:rPr>
              </m:ctrlPr>
            </m:dPr>
            <m:e>
              <m:r>
                <w:rPr>
                  <w:rFonts w:ascii="Cambria Math" w:hAnsi="Cambria Math"/>
                  <w:lang w:val="en-GB"/>
                </w:rPr>
                <m:t>ha</m:t>
              </m:r>
            </m:e>
          </m:d>
        </m:oMath>
      </m:oMathPara>
    </w:p>
    <w:p w14:paraId="3BB699ED" w14:textId="77777777" w:rsidR="00BC700A" w:rsidRPr="005E6F82" w:rsidRDefault="00BC700A" w:rsidP="005E6F82">
      <w:pPr>
        <w:spacing w:after="0" w:line="480" w:lineRule="auto"/>
        <w:rPr>
          <w:rFonts w:ascii="Times New Roman" w:hAnsi="Times New Roman"/>
          <w:lang w:val="en-GB"/>
        </w:rPr>
      </w:pPr>
      <w:r w:rsidRPr="005E6F82">
        <w:rPr>
          <w:rFonts w:ascii="Times New Roman" w:hAnsi="Times New Roman"/>
          <w:lang w:val="en-GB"/>
        </w:rPr>
        <w:t xml:space="preserve">This approach was adopted because it provides a method to define impact as a function of both the physical area and the quality of the habitat it contains, which is defined specifically by the value it holds for a species or community. It is important to note that quality may be contingent on the location of an offset in the landscape relative to the movement and dispersal needs of a species, for example,  the prevalence or otherwise of relevant habitat features, and patterns of utilisation of habitat by relevant target species. The importance of such factors depends on the extent to which they are likely to be important for the target matter. Thus, a given site may score highly as habitat for one species, but poorly as habitat for another, depending on the particular species’ requirements. </w:t>
      </w:r>
    </w:p>
    <w:p w14:paraId="673BF435" w14:textId="77777777" w:rsidR="005E6F82" w:rsidRPr="005E6F82" w:rsidRDefault="005E6F82" w:rsidP="005E6F82">
      <w:pPr>
        <w:spacing w:after="0" w:line="480" w:lineRule="auto"/>
        <w:rPr>
          <w:rFonts w:ascii="Times New Roman" w:hAnsi="Times New Roman"/>
          <w:i/>
          <w:lang w:val="en-GB"/>
        </w:rPr>
      </w:pPr>
    </w:p>
    <w:p w14:paraId="021490AA" w14:textId="77777777" w:rsidR="00BC700A" w:rsidRPr="005E6F82" w:rsidRDefault="00BC700A" w:rsidP="005E6F82">
      <w:pPr>
        <w:spacing w:after="0" w:line="480" w:lineRule="auto"/>
        <w:rPr>
          <w:rFonts w:ascii="Times New Roman" w:hAnsi="Times New Roman"/>
          <w:b/>
          <w:lang w:val="en-GB"/>
        </w:rPr>
      </w:pPr>
      <w:r w:rsidRPr="005E6F82">
        <w:rPr>
          <w:rFonts w:ascii="Times New Roman" w:hAnsi="Times New Roman"/>
          <w:b/>
          <w:lang w:val="en-GB"/>
        </w:rPr>
        <w:t>Risk of loss</w:t>
      </w:r>
    </w:p>
    <w:p w14:paraId="69FE8373" w14:textId="77777777" w:rsidR="005E6F82" w:rsidRPr="005E6F82" w:rsidRDefault="005E6F82" w:rsidP="005E6F82">
      <w:pPr>
        <w:spacing w:after="0" w:line="480" w:lineRule="auto"/>
        <w:rPr>
          <w:rFonts w:ascii="Times New Roman" w:hAnsi="Times New Roman"/>
          <w:lang w:val="en-GB"/>
        </w:rPr>
      </w:pPr>
    </w:p>
    <w:p w14:paraId="6405CDBC" w14:textId="77777777" w:rsidR="00BC700A" w:rsidRPr="005E6F82" w:rsidRDefault="00BC700A" w:rsidP="005E6F82">
      <w:pPr>
        <w:spacing w:after="0" w:line="480" w:lineRule="auto"/>
        <w:rPr>
          <w:rFonts w:ascii="Times New Roman" w:hAnsi="Times New Roman"/>
          <w:lang w:val="en-GB"/>
        </w:rPr>
      </w:pPr>
      <w:r w:rsidRPr="005E6F82">
        <w:rPr>
          <w:rFonts w:ascii="Times New Roman" w:hAnsi="Times New Roman"/>
          <w:lang w:val="en-GB"/>
        </w:rPr>
        <w:lastRenderedPageBreak/>
        <w:t>The risk of loss is used to calculate the value of an offset in averting a future loss. This is achieved through measuring the .risk of loss (</w:t>
      </w:r>
      <w:r w:rsidRPr="005E6F82">
        <w:rPr>
          <w:rFonts w:ascii="Times New Roman" w:hAnsi="Times New Roman"/>
          <w:i/>
          <w:lang w:val="en-GB"/>
        </w:rPr>
        <w:t>RoL</w:t>
      </w:r>
      <w:r w:rsidRPr="005E6F82">
        <w:rPr>
          <w:rFonts w:ascii="Times New Roman" w:hAnsi="Times New Roman"/>
          <w:lang w:val="en-GB"/>
        </w:rPr>
        <w:t xml:space="preserve">) in both a with-offset and without-offset scenario. To calculate the expected area of a proposed offset site at end time point </w:t>
      </w:r>
      <w:r w:rsidRPr="005E6F82">
        <w:rPr>
          <w:rFonts w:ascii="Times New Roman" w:hAnsi="Times New Roman"/>
          <w:i/>
          <w:lang w:val="en-GB"/>
        </w:rPr>
        <w:t xml:space="preserve">T </w:t>
      </w:r>
      <w:r w:rsidRPr="005E6F82">
        <w:rPr>
          <w:rFonts w:ascii="Times New Roman" w:hAnsi="Times New Roman"/>
          <w:lang w:val="en-GB"/>
        </w:rPr>
        <w:t>(</w:t>
      </w:r>
      <w:r w:rsidRPr="005E6F82">
        <w:rPr>
          <w:rFonts w:ascii="Times New Roman" w:hAnsi="Times New Roman"/>
          <w:i/>
          <w:lang w:val="en-GB"/>
        </w:rPr>
        <w:t>ARoL</w:t>
      </w:r>
      <w:r w:rsidRPr="005E6F82">
        <w:rPr>
          <w:rFonts w:ascii="Times New Roman" w:hAnsi="Times New Roman"/>
          <w:lang w:val="en-GB"/>
        </w:rPr>
        <w:t xml:space="preserve">) </w:t>
      </w:r>
      <w:r w:rsidRPr="005E6F82">
        <w:rPr>
          <w:rFonts w:ascii="Times New Roman" w:hAnsi="Times New Roman"/>
          <w:color w:val="000000"/>
          <w:szCs w:val="20"/>
          <w:lang w:val="en-GB" w:eastAsia="en-AU"/>
        </w:rPr>
        <w:t xml:space="preserve">the future area of the offset </w:t>
      </w:r>
      <w:r w:rsidRPr="005E6F82">
        <w:rPr>
          <w:rFonts w:ascii="Times New Roman" w:hAnsi="Times New Roman"/>
          <w:color w:val="000000"/>
          <w:sz w:val="20"/>
          <w:szCs w:val="20"/>
          <w:lang w:val="en-GB" w:eastAsia="en-AU"/>
        </w:rPr>
        <w:t>(</w:t>
      </w:r>
      <m:oMath>
        <m:sSub>
          <m:sSubPr>
            <m:ctrlPr>
              <w:rPr>
                <w:rFonts w:ascii="Cambria Math" w:hAnsi="Cambria Math"/>
                <w:i/>
                <w:color w:val="000000"/>
                <w:lang w:val="en-GB" w:eastAsia="en-AU"/>
              </w:rPr>
            </m:ctrlPr>
          </m:sSubPr>
          <m:e>
            <m:r>
              <w:rPr>
                <w:rFonts w:ascii="Cambria Math" w:hAnsi="Cambria Math"/>
                <w:color w:val="000000"/>
                <w:lang w:val="en-GB" w:eastAsia="en-AU"/>
              </w:rPr>
              <m:t>Area</m:t>
            </m:r>
          </m:e>
          <m:sub>
            <m:r>
              <w:rPr>
                <w:rFonts w:ascii="Cambria Math" w:hAnsi="Cambria Math"/>
                <w:color w:val="000000"/>
                <w:lang w:val="en-GB" w:eastAsia="en-AU"/>
              </w:rPr>
              <m:t>t=T</m:t>
            </m:r>
          </m:sub>
        </m:sSub>
      </m:oMath>
      <w:r w:rsidRPr="005E6F82">
        <w:rPr>
          <w:rFonts w:ascii="Times New Roman" w:hAnsi="Times New Roman"/>
          <w:color w:val="000000"/>
          <w:lang w:val="en-GB" w:eastAsia="en-AU"/>
        </w:rPr>
        <w:t xml:space="preserve">) </w:t>
      </w:r>
      <w:r w:rsidRPr="005E6F82">
        <w:rPr>
          <w:rFonts w:ascii="Times New Roman" w:hAnsi="Times New Roman"/>
          <w:color w:val="000000"/>
          <w:szCs w:val="20"/>
          <w:lang w:val="en-GB" w:eastAsia="en-AU"/>
        </w:rPr>
        <w:t xml:space="preserve">is adjusted according to the </w:t>
      </w:r>
      <w:r w:rsidRPr="005E6F82">
        <w:rPr>
          <w:rFonts w:ascii="Times New Roman" w:hAnsi="Times New Roman"/>
          <w:lang w:val="en-GB"/>
        </w:rPr>
        <w:t>risk of loss:</w:t>
      </w:r>
    </w:p>
    <w:p w14:paraId="4DB298E9" w14:textId="77777777" w:rsidR="00BC700A" w:rsidRPr="005E6F82" w:rsidRDefault="00BC700A" w:rsidP="005E6F82">
      <w:pPr>
        <w:spacing w:after="0" w:line="480" w:lineRule="auto"/>
        <w:rPr>
          <w:rFonts w:ascii="Times New Roman" w:hAnsi="Times New Roman"/>
          <w:color w:val="000000"/>
          <w:lang w:val="en-GB" w:eastAsia="en-AU"/>
        </w:rPr>
      </w:pPr>
      <m:oMathPara>
        <m:oMath>
          <m:r>
            <w:rPr>
              <w:rFonts w:ascii="Cambria Math" w:hAnsi="Cambria Math"/>
              <w:color w:val="000000"/>
              <w:szCs w:val="20"/>
              <w:lang w:val="en-GB" w:eastAsia="en-AU"/>
            </w:rPr>
            <m:t>ARoL</m:t>
          </m:r>
          <m:r>
            <w:rPr>
              <w:rFonts w:ascii="Cambria Math" w:hAnsi="Cambria Math"/>
              <w:color w:val="000000"/>
              <w:sz w:val="24"/>
              <w:lang w:val="en-GB" w:eastAsia="en-AU"/>
            </w:rPr>
            <m:t xml:space="preserve"> =</m:t>
          </m:r>
          <m:sSub>
            <m:sSubPr>
              <m:ctrlPr>
                <w:rPr>
                  <w:rFonts w:ascii="Cambria Math" w:hAnsi="Cambria Math"/>
                  <w:i/>
                  <w:color w:val="000000"/>
                  <w:sz w:val="24"/>
                  <w:lang w:val="en-GB" w:eastAsia="en-AU"/>
                </w:rPr>
              </m:ctrlPr>
            </m:sSubPr>
            <m:e>
              <m:r>
                <w:rPr>
                  <w:rFonts w:ascii="Cambria Math" w:hAnsi="Cambria Math"/>
                  <w:color w:val="000000"/>
                  <w:sz w:val="24"/>
                  <w:lang w:val="en-GB" w:eastAsia="en-AU"/>
                </w:rPr>
                <m:t>Area</m:t>
              </m:r>
            </m:e>
            <m:sub>
              <m:r>
                <w:rPr>
                  <w:rFonts w:ascii="Cambria Math" w:hAnsi="Cambria Math"/>
                  <w:color w:val="000000"/>
                  <w:sz w:val="24"/>
                  <w:lang w:val="en-GB" w:eastAsia="en-AU"/>
                </w:rPr>
                <m:t>t=T</m:t>
              </m:r>
            </m:sub>
          </m:sSub>
          <m:r>
            <w:rPr>
              <w:rFonts w:ascii="Cambria Math" w:hAnsi="Cambria Math"/>
              <w:color w:val="000000"/>
              <w:sz w:val="24"/>
              <w:lang w:val="en-GB" w:eastAsia="en-AU"/>
            </w:rPr>
            <m:t xml:space="preserve"> × (1-RoL)</m:t>
          </m:r>
        </m:oMath>
      </m:oMathPara>
    </w:p>
    <w:p w14:paraId="57A106E6" w14:textId="77777777" w:rsidR="005E6F82" w:rsidRPr="005E6F82" w:rsidRDefault="005E6F82" w:rsidP="005E6F82">
      <w:pPr>
        <w:spacing w:after="0" w:line="480" w:lineRule="auto"/>
        <w:rPr>
          <w:rFonts w:ascii="Times New Roman" w:hAnsi="Times New Roman"/>
          <w:i/>
          <w:lang w:val="en-GB"/>
        </w:rPr>
      </w:pPr>
    </w:p>
    <w:p w14:paraId="579280BE" w14:textId="77777777" w:rsidR="00BC700A" w:rsidRPr="005E6F82" w:rsidRDefault="00BC700A" w:rsidP="005E6F82">
      <w:pPr>
        <w:spacing w:after="0" w:line="480" w:lineRule="auto"/>
        <w:rPr>
          <w:rFonts w:ascii="Times New Roman" w:hAnsi="Times New Roman"/>
          <w:b/>
          <w:lang w:val="en-GB"/>
        </w:rPr>
      </w:pPr>
      <w:r w:rsidRPr="005E6F82">
        <w:rPr>
          <w:rFonts w:ascii="Times New Roman" w:hAnsi="Times New Roman"/>
          <w:b/>
          <w:lang w:val="en-GB"/>
        </w:rPr>
        <w:t>Confidence</w:t>
      </w:r>
    </w:p>
    <w:p w14:paraId="2A61D509" w14:textId="77777777" w:rsidR="005E6F82" w:rsidRPr="005E6F82" w:rsidRDefault="005E6F82" w:rsidP="005E6F82">
      <w:pPr>
        <w:spacing w:after="0" w:line="480" w:lineRule="auto"/>
        <w:rPr>
          <w:rFonts w:ascii="Times New Roman" w:hAnsi="Times New Roman"/>
          <w:lang w:val="en-GB"/>
        </w:rPr>
      </w:pPr>
    </w:p>
    <w:p w14:paraId="06369636" w14:textId="77777777" w:rsidR="00BC700A" w:rsidRPr="005E6F82" w:rsidRDefault="00BC700A" w:rsidP="005E6F82">
      <w:pPr>
        <w:spacing w:after="0" w:line="480" w:lineRule="auto"/>
        <w:rPr>
          <w:rFonts w:ascii="Times New Roman" w:hAnsi="Times New Roman"/>
          <w:lang w:val="en-GB"/>
        </w:rPr>
      </w:pPr>
      <w:r w:rsidRPr="005E6F82">
        <w:rPr>
          <w:rFonts w:ascii="Times New Roman" w:hAnsi="Times New Roman"/>
          <w:lang w:val="en-GB"/>
        </w:rPr>
        <w:t>The confidence adjustment occurs once for most currencies, but for the adjusted area currency, the area and quality components are disaggregated and a different level of confidence may apply to scenarios relating to each:</w:t>
      </w:r>
    </w:p>
    <w:p w14:paraId="772D4438" w14:textId="77777777" w:rsidR="00BC700A" w:rsidRPr="005E6F82" w:rsidRDefault="00BC700A" w:rsidP="005E6F82">
      <w:pPr>
        <w:spacing w:after="0" w:line="480" w:lineRule="auto"/>
        <w:rPr>
          <w:rFonts w:ascii="Times New Roman" w:hAnsi="Times New Roman"/>
          <w:color w:val="000000"/>
          <w:sz w:val="20"/>
          <w:szCs w:val="20"/>
          <w:lang w:val="en-GB" w:eastAsia="en-AU"/>
        </w:rPr>
      </w:pPr>
      <m:oMathPara>
        <m:oMath>
          <m:r>
            <w:rPr>
              <w:rFonts w:ascii="Cambria Math" w:hAnsi="Cambria Math"/>
              <w:color w:val="000000"/>
              <w:sz w:val="20"/>
              <w:szCs w:val="20"/>
              <w:lang w:val="en-GB" w:eastAsia="en-AU"/>
            </w:rPr>
            <m:t>Adjusted Gain in Area =</m:t>
          </m:r>
          <m:d>
            <m:dPr>
              <m:ctrlPr>
                <w:rPr>
                  <w:rFonts w:ascii="Cambria Math" w:hAnsi="Cambria Math"/>
                  <w:i/>
                  <w:color w:val="000000"/>
                  <w:sz w:val="20"/>
                  <w:szCs w:val="20"/>
                  <w:lang w:val="en-GB" w:eastAsia="en-AU"/>
                </w:rPr>
              </m:ctrlPr>
            </m:dPr>
            <m:e>
              <m:sSub>
                <m:sSubPr>
                  <m:ctrlPr>
                    <w:rPr>
                      <w:rFonts w:ascii="Cambria Math" w:hAnsi="Cambria Math"/>
                      <w:i/>
                      <w:color w:val="000000"/>
                      <w:sz w:val="20"/>
                      <w:szCs w:val="20"/>
                      <w:lang w:val="en-GB" w:eastAsia="en-AU"/>
                    </w:rPr>
                  </m:ctrlPr>
                </m:sSubPr>
                <m:e>
                  <m:r>
                    <w:rPr>
                      <w:rFonts w:ascii="Cambria Math" w:hAnsi="Cambria Math"/>
                      <w:color w:val="000000"/>
                      <w:sz w:val="20"/>
                      <w:szCs w:val="20"/>
                      <w:lang w:val="en-GB" w:eastAsia="en-AU"/>
                    </w:rPr>
                    <m:t>ARoL</m:t>
                  </m:r>
                </m:e>
                <m:sub>
                  <m:r>
                    <w:rPr>
                      <w:rFonts w:ascii="Cambria Math" w:hAnsi="Cambria Math"/>
                      <w:color w:val="000000"/>
                      <w:sz w:val="20"/>
                      <w:szCs w:val="20"/>
                      <w:lang w:val="en-GB" w:eastAsia="en-AU"/>
                    </w:rPr>
                    <m:t>with offset</m:t>
                  </m:r>
                </m:sub>
              </m:sSub>
              <m:r>
                <w:rPr>
                  <w:rFonts w:ascii="Cambria Math" w:hAnsi="Cambria Math"/>
                  <w:color w:val="000000"/>
                  <w:sz w:val="20"/>
                  <w:szCs w:val="20"/>
                  <w:lang w:val="en-GB" w:eastAsia="en-AU"/>
                </w:rPr>
                <m:t>-</m:t>
              </m:r>
              <m:sSub>
                <m:sSubPr>
                  <m:ctrlPr>
                    <w:rPr>
                      <w:rFonts w:ascii="Cambria Math" w:hAnsi="Cambria Math"/>
                      <w:i/>
                      <w:color w:val="000000"/>
                      <w:sz w:val="20"/>
                      <w:szCs w:val="20"/>
                      <w:lang w:val="en-GB" w:eastAsia="en-AU"/>
                    </w:rPr>
                  </m:ctrlPr>
                </m:sSubPr>
                <m:e>
                  <m:r>
                    <w:rPr>
                      <w:rFonts w:ascii="Cambria Math" w:hAnsi="Cambria Math"/>
                      <w:color w:val="000000"/>
                      <w:sz w:val="20"/>
                      <w:szCs w:val="20"/>
                      <w:lang w:val="en-GB" w:eastAsia="en-AU"/>
                    </w:rPr>
                    <m:t>ARoL</m:t>
                  </m:r>
                </m:e>
                <m:sub>
                  <m:r>
                    <w:rPr>
                      <w:rFonts w:ascii="Cambria Math" w:hAnsi="Cambria Math"/>
                      <w:color w:val="000000"/>
                      <w:sz w:val="20"/>
                      <w:szCs w:val="20"/>
                      <w:lang w:val="en-GB" w:eastAsia="en-AU"/>
                    </w:rPr>
                    <m:t>without offset</m:t>
                  </m:r>
                </m:sub>
              </m:sSub>
            </m:e>
          </m:d>
          <m:r>
            <w:rPr>
              <w:rFonts w:ascii="Cambria Math" w:hAnsi="Cambria Math"/>
              <w:color w:val="000000"/>
              <w:sz w:val="20"/>
              <w:szCs w:val="20"/>
              <w:lang w:val="en-GB" w:eastAsia="en-AU"/>
            </w:rPr>
            <m:t>× Confidence</m:t>
          </m:r>
        </m:oMath>
      </m:oMathPara>
    </w:p>
    <w:p w14:paraId="1E9F17CD" w14:textId="77777777" w:rsidR="00BC700A" w:rsidRPr="005E6F82" w:rsidRDefault="00BC700A" w:rsidP="005E6F82">
      <w:pPr>
        <w:spacing w:after="0" w:line="480" w:lineRule="auto"/>
        <w:rPr>
          <w:rFonts w:ascii="Times New Roman" w:hAnsi="Times New Roman"/>
          <w:color w:val="000000"/>
          <w:lang w:val="en-GB" w:eastAsia="en-AU"/>
        </w:rPr>
      </w:pPr>
      <m:oMathPara>
        <m:oMath>
          <m:r>
            <w:rPr>
              <w:rFonts w:ascii="Cambria Math" w:hAnsi="Cambria Math"/>
              <w:color w:val="000000"/>
              <w:sz w:val="20"/>
              <w:szCs w:val="20"/>
              <w:lang w:val="en-GB" w:eastAsia="en-AU"/>
            </w:rPr>
            <m:t>Adjusted Gain in Quality=(</m:t>
          </m:r>
          <m:sSub>
            <m:sSubPr>
              <m:ctrlPr>
                <w:rPr>
                  <w:rFonts w:ascii="Cambria Math" w:hAnsi="Cambria Math"/>
                  <w:i/>
                  <w:color w:val="000000"/>
                  <w:sz w:val="20"/>
                  <w:szCs w:val="20"/>
                  <w:lang w:val="en-GB" w:eastAsia="en-AU"/>
                </w:rPr>
              </m:ctrlPr>
            </m:sSubPr>
            <m:e>
              <m:r>
                <w:rPr>
                  <w:rFonts w:ascii="Cambria Math" w:hAnsi="Cambria Math"/>
                  <w:color w:val="000000"/>
                  <w:sz w:val="20"/>
                  <w:szCs w:val="20"/>
                  <w:lang w:val="en-GB" w:eastAsia="en-AU"/>
                </w:rPr>
                <m:t>Quality</m:t>
              </m:r>
            </m:e>
            <m:sub>
              <m:r>
                <w:rPr>
                  <w:rFonts w:ascii="Cambria Math" w:hAnsi="Cambria Math"/>
                  <w:color w:val="000000"/>
                  <w:sz w:val="20"/>
                  <w:szCs w:val="20"/>
                  <w:lang w:val="en-GB" w:eastAsia="en-AU"/>
                </w:rPr>
                <m:t>with offset</m:t>
              </m:r>
            </m:sub>
          </m:sSub>
          <m:r>
            <w:rPr>
              <w:rFonts w:ascii="Cambria Math" w:hAnsi="Cambria Math"/>
              <w:color w:val="000000"/>
              <w:sz w:val="20"/>
              <w:szCs w:val="20"/>
              <w:lang w:val="en-GB" w:eastAsia="en-AU"/>
            </w:rPr>
            <m:t xml:space="preserve"> -</m:t>
          </m:r>
          <m:sSub>
            <m:sSubPr>
              <m:ctrlPr>
                <w:rPr>
                  <w:rFonts w:ascii="Cambria Math" w:hAnsi="Cambria Math"/>
                  <w:i/>
                  <w:color w:val="000000"/>
                  <w:sz w:val="20"/>
                  <w:szCs w:val="20"/>
                  <w:lang w:val="en-GB" w:eastAsia="en-AU"/>
                </w:rPr>
              </m:ctrlPr>
            </m:sSubPr>
            <m:e>
              <m:r>
                <w:rPr>
                  <w:rFonts w:ascii="Cambria Math" w:hAnsi="Cambria Math"/>
                  <w:color w:val="000000"/>
                  <w:sz w:val="20"/>
                  <w:szCs w:val="20"/>
                  <w:lang w:val="en-GB" w:eastAsia="en-AU"/>
                </w:rPr>
                <m:t>Quality</m:t>
              </m:r>
            </m:e>
            <m:sub>
              <m:r>
                <w:rPr>
                  <w:rFonts w:ascii="Cambria Math" w:hAnsi="Cambria Math"/>
                  <w:color w:val="000000"/>
                  <w:sz w:val="20"/>
                  <w:szCs w:val="20"/>
                  <w:lang w:val="en-GB" w:eastAsia="en-AU"/>
                </w:rPr>
                <m:t>without offset</m:t>
              </m:r>
            </m:sub>
          </m:sSub>
          <m:r>
            <w:rPr>
              <w:rFonts w:ascii="Cambria Math" w:hAnsi="Cambria Math"/>
              <w:color w:val="000000"/>
              <w:sz w:val="20"/>
              <w:szCs w:val="20"/>
              <w:lang w:val="en-GB" w:eastAsia="en-AU"/>
            </w:rPr>
            <m:t>) × Confidence</m:t>
          </m:r>
        </m:oMath>
      </m:oMathPara>
    </w:p>
    <w:p w14:paraId="5860C5E6" w14:textId="77777777" w:rsidR="005E6F82" w:rsidRPr="005E6F82" w:rsidRDefault="005E6F82" w:rsidP="005E6F82">
      <w:pPr>
        <w:spacing w:after="0" w:line="480" w:lineRule="auto"/>
        <w:rPr>
          <w:rFonts w:ascii="Times New Roman" w:hAnsi="Times New Roman"/>
          <w:i/>
          <w:lang w:val="en-GB"/>
        </w:rPr>
      </w:pPr>
    </w:p>
    <w:p w14:paraId="1394EBC3" w14:textId="77777777" w:rsidR="00BC700A" w:rsidRPr="005E6F82" w:rsidRDefault="00BC700A" w:rsidP="005E6F82">
      <w:pPr>
        <w:spacing w:after="0" w:line="480" w:lineRule="auto"/>
        <w:rPr>
          <w:rFonts w:ascii="Times New Roman" w:hAnsi="Times New Roman"/>
          <w:b/>
          <w:lang w:val="en-GB"/>
        </w:rPr>
      </w:pPr>
      <w:r w:rsidRPr="005E6F82">
        <w:rPr>
          <w:rFonts w:ascii="Times New Roman" w:hAnsi="Times New Roman"/>
          <w:b/>
          <w:lang w:val="en-GB"/>
        </w:rPr>
        <w:t xml:space="preserve">Net </w:t>
      </w:r>
      <w:r w:rsidR="005E6F82" w:rsidRPr="005E6F82">
        <w:rPr>
          <w:rFonts w:ascii="Times New Roman" w:hAnsi="Times New Roman"/>
          <w:b/>
          <w:lang w:val="en-GB"/>
        </w:rPr>
        <w:t>present value</w:t>
      </w:r>
    </w:p>
    <w:p w14:paraId="53255E32" w14:textId="77777777" w:rsidR="005E6F82" w:rsidRPr="005E6F82" w:rsidRDefault="005E6F82" w:rsidP="005E6F82">
      <w:pPr>
        <w:spacing w:after="0" w:line="480" w:lineRule="auto"/>
        <w:rPr>
          <w:rFonts w:ascii="Times New Roman" w:hAnsi="Times New Roman"/>
          <w:lang w:val="en-GB"/>
        </w:rPr>
      </w:pPr>
    </w:p>
    <w:p w14:paraId="5B9B9382" w14:textId="77777777" w:rsidR="00BC700A" w:rsidRPr="005E6F82" w:rsidRDefault="00BC700A" w:rsidP="005E6F82">
      <w:pPr>
        <w:spacing w:after="0" w:line="480" w:lineRule="auto"/>
        <w:rPr>
          <w:rFonts w:ascii="Times New Roman" w:hAnsi="Times New Roman"/>
          <w:lang w:val="en-GB"/>
        </w:rPr>
      </w:pPr>
      <w:r w:rsidRPr="005E6F82">
        <w:rPr>
          <w:rFonts w:ascii="Times New Roman" w:hAnsi="Times New Roman"/>
          <w:lang w:val="en-GB"/>
        </w:rPr>
        <w:t xml:space="preserve">Before calculating the final value of area-based offsets, the </w:t>
      </w:r>
      <w:r w:rsidR="00F23FDD" w:rsidRPr="005E6F82">
        <w:rPr>
          <w:rFonts w:ascii="Times New Roman" w:hAnsi="Times New Roman"/>
          <w:lang w:val="en-GB"/>
        </w:rPr>
        <w:t xml:space="preserve">Guide </w:t>
      </w:r>
      <w:r w:rsidRPr="005E6F82">
        <w:rPr>
          <w:rFonts w:ascii="Times New Roman" w:hAnsi="Times New Roman"/>
          <w:lang w:val="en-GB"/>
        </w:rPr>
        <w:t xml:space="preserve">utilises the annual probability of extinction </w:t>
      </w:r>
      <w:r w:rsidRPr="005E6F82">
        <w:rPr>
          <w:rFonts w:ascii="Times New Roman" w:hAnsi="Times New Roman"/>
          <w:i/>
          <w:lang w:val="en-GB"/>
        </w:rPr>
        <w:t>r</w:t>
      </w:r>
      <w:r w:rsidRPr="005E6F82">
        <w:rPr>
          <w:rFonts w:ascii="Times New Roman" w:hAnsi="Times New Roman"/>
          <w:lang w:val="en-GB"/>
        </w:rPr>
        <w:t xml:space="preserve"> to calculate the net present value (</w:t>
      </w:r>
      <w:r w:rsidRPr="005E6F82">
        <w:rPr>
          <w:rFonts w:ascii="Times New Roman" w:hAnsi="Times New Roman"/>
          <w:i/>
          <w:lang w:val="en-GB"/>
        </w:rPr>
        <w:t>NPV</w:t>
      </w:r>
      <w:r w:rsidRPr="005E6F82">
        <w:rPr>
          <w:rFonts w:ascii="Times New Roman" w:hAnsi="Times New Roman"/>
          <w:lang w:val="en-GB"/>
        </w:rPr>
        <w:t xml:space="preserve">) </w:t>
      </w:r>
      <w:r w:rsidRPr="005E6F82">
        <w:rPr>
          <w:rFonts w:ascii="Times New Roman" w:hAnsi="Times New Roman"/>
          <w:iCs/>
          <w:lang w:val="en-GB"/>
        </w:rPr>
        <w:t xml:space="preserve">for </w:t>
      </w:r>
      <w:r w:rsidRPr="005E6F82">
        <w:rPr>
          <w:rFonts w:ascii="Times New Roman" w:hAnsi="Times New Roman"/>
          <w:lang w:val="en-GB"/>
        </w:rPr>
        <w:t>confidence-adjusted habitat improvements and changes in risk of loss. The following equation was used to calculate the NPV of an offset and to allow comparison of future offset benefits with impacts that occur at an earlier point in time:</w:t>
      </w:r>
    </w:p>
    <w:p w14:paraId="7A76B8EA" w14:textId="77777777" w:rsidR="00BC700A" w:rsidRPr="005E6F82" w:rsidRDefault="00AA2426" w:rsidP="005E6F82">
      <w:pPr>
        <w:spacing w:after="0" w:line="480" w:lineRule="auto"/>
        <w:rPr>
          <w:rFonts w:ascii="Times New Roman" w:hAnsi="Times New Roman"/>
          <w:iCs/>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NPV</m:t>
              </m:r>
            </m:e>
            <m:sub>
              <m:r>
                <w:rPr>
                  <w:rFonts w:ascii="Cambria Math" w:hAnsi="Cambria Math"/>
                  <w:sz w:val="20"/>
                  <w:szCs w:val="20"/>
                  <w:lang w:val="en-GB"/>
                </w:rPr>
                <m:t>AGArea</m:t>
              </m:r>
            </m:sub>
          </m:sSub>
          <m:r>
            <w:rPr>
              <w:rFonts w:ascii="Cambria Math" w:hAnsi="Cambria Math"/>
              <w:sz w:val="20"/>
              <w:szCs w:val="20"/>
              <w:lang w:val="en-GB"/>
            </w:rPr>
            <m:t>=</m:t>
          </m:r>
          <m:r>
            <w:rPr>
              <w:rFonts w:ascii="Cambria Math" w:hAnsi="Cambria Math"/>
              <w:color w:val="000000"/>
              <w:sz w:val="20"/>
              <w:szCs w:val="20"/>
              <w:lang w:val="en-GB" w:eastAsia="en-AU"/>
            </w:rPr>
            <m:t>Adjusted Gain in Area</m:t>
          </m:r>
          <m:r>
            <w:rPr>
              <w:rFonts w:ascii="Cambria Math" w:hAnsi="Cambria Math"/>
              <w:sz w:val="20"/>
              <w:szCs w:val="20"/>
              <w:lang w:val="en-GB"/>
            </w:rPr>
            <m:t xml:space="preserve"> </m:t>
          </m:r>
          <m:sSup>
            <m:sSupPr>
              <m:ctrlPr>
                <w:rPr>
                  <w:rFonts w:ascii="Cambria Math" w:hAnsi="Cambria Math"/>
                  <w:i/>
                  <w:iCs/>
                  <w:sz w:val="20"/>
                  <w:szCs w:val="20"/>
                  <w:lang w:val="en-GB"/>
                </w:rPr>
              </m:ctrlPr>
            </m:sSupPr>
            <m:e>
              <m:d>
                <m:dPr>
                  <m:ctrlPr>
                    <w:rPr>
                      <w:rFonts w:ascii="Cambria Math" w:hAnsi="Cambria Math"/>
                      <w:i/>
                      <w:iCs/>
                      <w:sz w:val="20"/>
                      <w:szCs w:val="20"/>
                      <w:lang w:val="en-GB"/>
                    </w:rPr>
                  </m:ctrlPr>
                </m:dPr>
                <m:e>
                  <m:r>
                    <w:rPr>
                      <w:rFonts w:ascii="Cambria Math" w:hAnsi="Cambria Math"/>
                      <w:sz w:val="20"/>
                      <w:szCs w:val="20"/>
                      <w:lang w:val="en-GB"/>
                    </w:rPr>
                    <m:t>1+r</m:t>
                  </m:r>
                </m:e>
              </m:d>
            </m:e>
            <m:sup>
              <m:r>
                <w:rPr>
                  <w:rFonts w:ascii="Cambria Math" w:hAnsi="Cambria Math"/>
                  <w:sz w:val="20"/>
                  <w:szCs w:val="20"/>
                  <w:lang w:val="en-GB"/>
                </w:rPr>
                <m:t>T</m:t>
              </m:r>
            </m:sup>
          </m:sSup>
        </m:oMath>
      </m:oMathPara>
    </w:p>
    <w:p w14:paraId="37A0EF48" w14:textId="77777777" w:rsidR="00BC700A" w:rsidRPr="005E6F82" w:rsidRDefault="00AA2426" w:rsidP="005E6F82">
      <w:pPr>
        <w:spacing w:after="0" w:line="480" w:lineRule="auto"/>
        <w:rPr>
          <w:rFonts w:ascii="Times New Roman" w:hAnsi="Times New Roman"/>
          <w:sz w:val="20"/>
          <w:szCs w:val="20"/>
          <w:lang w:val="en-GB"/>
        </w:rPr>
      </w:pPr>
      <m:oMathPara>
        <m:oMath>
          <m:sSub>
            <m:sSubPr>
              <m:ctrlPr>
                <w:rPr>
                  <w:rFonts w:ascii="Cambria Math" w:hAnsi="Cambria Math"/>
                  <w:i/>
                  <w:sz w:val="20"/>
                  <w:szCs w:val="20"/>
                  <w:lang w:val="en-GB"/>
                </w:rPr>
              </m:ctrlPr>
            </m:sSubPr>
            <m:e>
              <m:r>
                <w:rPr>
                  <w:rFonts w:ascii="Cambria Math" w:hAnsi="Cambria Math"/>
                  <w:sz w:val="20"/>
                  <w:szCs w:val="20"/>
                  <w:lang w:val="en-GB"/>
                </w:rPr>
                <m:t>NPV</m:t>
              </m:r>
            </m:e>
            <m:sub>
              <m:r>
                <w:rPr>
                  <w:rFonts w:ascii="Cambria Math" w:hAnsi="Cambria Math"/>
                  <w:sz w:val="20"/>
                  <w:szCs w:val="20"/>
                  <w:lang w:val="en-GB"/>
                </w:rPr>
                <m:t>AGQuality</m:t>
              </m:r>
            </m:sub>
          </m:sSub>
          <m:r>
            <w:rPr>
              <w:rFonts w:ascii="Cambria Math" w:hAnsi="Cambria Math"/>
              <w:sz w:val="20"/>
              <w:szCs w:val="20"/>
              <w:lang w:val="en-GB"/>
            </w:rPr>
            <m:t>=</m:t>
          </m:r>
          <m:f>
            <m:fPr>
              <m:ctrlPr>
                <w:rPr>
                  <w:rFonts w:ascii="Cambria Math" w:hAnsi="Cambria Math"/>
                  <w:i/>
                  <w:iCs/>
                  <w:sz w:val="20"/>
                  <w:szCs w:val="20"/>
                  <w:lang w:val="en-GB"/>
                </w:rPr>
              </m:ctrlPr>
            </m:fPr>
            <m:num>
              <m:r>
                <w:rPr>
                  <w:rFonts w:ascii="Cambria Math" w:hAnsi="Cambria Math"/>
                  <w:color w:val="000000"/>
                  <w:sz w:val="20"/>
                  <w:szCs w:val="20"/>
                  <w:lang w:val="en-GB" w:eastAsia="en-AU"/>
                </w:rPr>
                <m:t>Adjusted Gain in Quality</m:t>
              </m:r>
              <m:r>
                <w:rPr>
                  <w:rFonts w:ascii="Cambria Math" w:hAnsi="Cambria Math"/>
                  <w:sz w:val="20"/>
                  <w:szCs w:val="20"/>
                  <w:lang w:val="en-GB"/>
                </w:rPr>
                <m:t xml:space="preserve"> </m:t>
              </m:r>
            </m:num>
            <m:den>
              <m:sSup>
                <m:sSupPr>
                  <m:ctrlPr>
                    <w:rPr>
                      <w:rFonts w:ascii="Cambria Math" w:hAnsi="Cambria Math"/>
                      <w:i/>
                      <w:iCs/>
                      <w:sz w:val="20"/>
                      <w:szCs w:val="20"/>
                      <w:lang w:val="en-GB"/>
                    </w:rPr>
                  </m:ctrlPr>
                </m:sSupPr>
                <m:e>
                  <m:d>
                    <m:dPr>
                      <m:ctrlPr>
                        <w:rPr>
                          <w:rFonts w:ascii="Cambria Math" w:hAnsi="Cambria Math"/>
                          <w:i/>
                          <w:iCs/>
                          <w:sz w:val="20"/>
                          <w:szCs w:val="20"/>
                          <w:lang w:val="en-GB"/>
                        </w:rPr>
                      </m:ctrlPr>
                    </m:dPr>
                    <m:e>
                      <m:r>
                        <w:rPr>
                          <w:rFonts w:ascii="Cambria Math" w:hAnsi="Cambria Math"/>
                          <w:sz w:val="20"/>
                          <w:szCs w:val="20"/>
                          <w:lang w:val="en-GB"/>
                        </w:rPr>
                        <m:t>1+r</m:t>
                      </m:r>
                    </m:e>
                  </m:d>
                </m:e>
                <m:sup>
                  <m:r>
                    <w:rPr>
                      <w:rFonts w:ascii="Cambria Math" w:hAnsi="Cambria Math"/>
                      <w:sz w:val="20"/>
                      <w:szCs w:val="20"/>
                      <w:lang w:val="en-GB"/>
                    </w:rPr>
                    <m:t>T</m:t>
                  </m:r>
                </m:sup>
              </m:sSup>
            </m:den>
          </m:f>
        </m:oMath>
      </m:oMathPara>
    </w:p>
    <w:p w14:paraId="340863D1" w14:textId="77777777" w:rsidR="00BC700A" w:rsidRPr="005E6F82" w:rsidRDefault="00BC700A" w:rsidP="005E6F82">
      <w:pPr>
        <w:spacing w:after="0" w:line="480" w:lineRule="auto"/>
        <w:rPr>
          <w:rFonts w:ascii="Times New Roman" w:hAnsi="Times New Roman"/>
          <w:lang w:val="en-GB"/>
        </w:rPr>
      </w:pPr>
      <w:r w:rsidRPr="005E6F82">
        <w:rPr>
          <w:rFonts w:ascii="Times New Roman" w:hAnsi="Times New Roman"/>
          <w:lang w:val="en-GB"/>
        </w:rPr>
        <w:t xml:space="preserve">Two summed calculations occur against a relative constant in order to calculate the net present value. Firstly the </w:t>
      </w:r>
      <w:r w:rsidRPr="005E6F82">
        <w:rPr>
          <w:rFonts w:ascii="Times New Roman" w:hAnsi="Times New Roman"/>
          <w:i/>
          <w:lang w:val="en-GB"/>
        </w:rPr>
        <w:t>net present value of adjusted gain in area</w:t>
      </w:r>
      <w:r w:rsidRPr="005E6F82">
        <w:rPr>
          <w:rFonts w:ascii="Times New Roman" w:hAnsi="Times New Roman"/>
          <w:lang w:val="en-GB"/>
        </w:rPr>
        <w:t xml:space="preserve"> is multiplied by the future quality of the offset, as quality is a constant and area remains variable. This is because the effective gain in area as a result of averting some loss from the offset will theoretically be achieved at the final quality score. Similarly</w:t>
      </w:r>
      <w:r w:rsidRPr="005E6F82">
        <w:rPr>
          <w:rFonts w:ascii="Times New Roman" w:hAnsi="Times New Roman"/>
          <w:i/>
          <w:lang w:val="en-GB"/>
        </w:rPr>
        <w:t>, adjusted gain in quality</w:t>
      </w:r>
      <w:r w:rsidRPr="005E6F82">
        <w:rPr>
          <w:rFonts w:ascii="Times New Roman" w:hAnsi="Times New Roman"/>
          <w:lang w:val="en-GB"/>
        </w:rPr>
        <w:t xml:space="preserve"> is </w:t>
      </w:r>
      <w:r w:rsidRPr="005E6F82">
        <w:rPr>
          <w:rFonts w:ascii="Times New Roman" w:hAnsi="Times New Roman"/>
          <w:lang w:val="en-GB"/>
        </w:rPr>
        <w:lastRenderedPageBreak/>
        <w:t xml:space="preserve">multiplied by future area without offset, as the area remains constant and change in </w:t>
      </w:r>
      <w:r w:rsidRPr="005E6F82">
        <w:rPr>
          <w:rFonts w:ascii="Times New Roman" w:hAnsi="Times New Roman"/>
          <w:i/>
          <w:lang w:val="en-GB"/>
        </w:rPr>
        <w:t>adjusted quality</w:t>
      </w:r>
      <w:r w:rsidRPr="005E6F82">
        <w:rPr>
          <w:rFonts w:ascii="Times New Roman" w:hAnsi="Times New Roman"/>
          <w:lang w:val="en-GB"/>
        </w:rPr>
        <w:t xml:space="preserve"> is treated as the variable.</w:t>
      </w:r>
    </w:p>
    <w:p w14:paraId="40EA076B" w14:textId="77777777" w:rsidR="00BC700A" w:rsidRPr="005E6F82" w:rsidRDefault="00BC700A" w:rsidP="005E6F82">
      <w:pPr>
        <w:spacing w:after="0" w:line="480" w:lineRule="auto"/>
        <w:ind w:firstLine="720"/>
        <w:rPr>
          <w:rFonts w:ascii="Times New Roman" w:hAnsi="Times New Roman"/>
          <w:lang w:val="en-GB"/>
        </w:rPr>
      </w:pPr>
      <w:r w:rsidRPr="005E6F82">
        <w:rPr>
          <w:rFonts w:ascii="Times New Roman" w:hAnsi="Times New Roman"/>
          <w:lang w:val="en-GB"/>
        </w:rPr>
        <w:t xml:space="preserve">The final value of area-based offsets is then determined by calculating the sum of the present value of improvements in quality and changes in risk of loss resulting from the proposed offset. This is calculated based on the following formula: </w:t>
      </w:r>
    </w:p>
    <w:p w14:paraId="6D2B5A14" w14:textId="77777777" w:rsidR="00A838A3" w:rsidRDefault="00AA2426" w:rsidP="005E6F82">
      <w:pPr>
        <w:spacing w:after="0" w:line="480" w:lineRule="auto"/>
        <w:jc w:val="center"/>
        <w:rPr>
          <w:rFonts w:ascii="Times New Roman" w:hAnsi="Times New Roman"/>
          <w:sz w:val="20"/>
          <w:szCs w:val="20"/>
          <w:lang w:val="en-GB"/>
        </w:rPr>
      </w:pPr>
      <m:oMath>
        <m:sSub>
          <m:sSubPr>
            <m:ctrlPr>
              <w:rPr>
                <w:rFonts w:ascii="Cambria Math" w:hAnsi="Cambria Math"/>
                <w:sz w:val="20"/>
                <w:szCs w:val="20"/>
                <w:lang w:val="en-GB"/>
              </w:rPr>
            </m:ctrlPr>
          </m:sSubPr>
          <m:e>
            <m:r>
              <m:rPr>
                <m:sty m:val="p"/>
              </m:rPr>
              <w:rPr>
                <w:rFonts w:ascii="Cambria Math" w:hAnsi="Cambria Math"/>
                <w:sz w:val="20"/>
                <w:szCs w:val="20"/>
                <w:lang w:val="en-GB"/>
              </w:rPr>
              <m:t>NPV</m:t>
            </m:r>
          </m:e>
          <m:sub>
            <m:r>
              <w:rPr>
                <w:rFonts w:ascii="Cambria Math" w:hAnsi="Cambria Math"/>
                <w:sz w:val="20"/>
                <w:szCs w:val="20"/>
                <w:lang w:val="en-GB"/>
              </w:rPr>
              <m:t>final</m:t>
            </m:r>
          </m:sub>
        </m:sSub>
        <m:r>
          <m:rPr>
            <m:sty m:val="p"/>
          </m:rPr>
          <w:rPr>
            <w:rFonts w:ascii="Cambria Math" w:hAnsi="Cambria Math"/>
            <w:sz w:val="20"/>
            <w:szCs w:val="20"/>
            <w:lang w:val="en-GB"/>
          </w:rPr>
          <m:t xml:space="preserve">=  </m:t>
        </m:r>
        <m:d>
          <m:dPr>
            <m:begChr m:val="["/>
            <m:endChr m:val="]"/>
            <m:ctrlPr>
              <w:rPr>
                <w:rFonts w:ascii="Cambria Math" w:hAnsi="Cambria Math"/>
                <w:sz w:val="20"/>
                <w:szCs w:val="20"/>
                <w:lang w:val="en-GB"/>
              </w:rPr>
            </m:ctrlPr>
          </m:dPr>
          <m:e>
            <m:d>
              <m:dPr>
                <m:ctrlPr>
                  <w:rPr>
                    <w:rFonts w:ascii="Cambria Math" w:hAnsi="Cambria Math"/>
                    <w:i/>
                    <w:color w:val="000000"/>
                    <w:sz w:val="20"/>
                    <w:szCs w:val="20"/>
                    <w:lang w:val="en-GB" w:eastAsia="en-AU"/>
                  </w:rPr>
                </m:ctrlPr>
              </m:dPr>
              <m:e>
                <m:f>
                  <m:fPr>
                    <m:ctrlPr>
                      <w:rPr>
                        <w:rFonts w:ascii="Cambria Math" w:hAnsi="Cambria Math"/>
                        <w:i/>
                        <w:color w:val="000000"/>
                        <w:sz w:val="20"/>
                        <w:szCs w:val="20"/>
                        <w:lang w:val="en-GB" w:eastAsia="en-AU"/>
                      </w:rPr>
                    </m:ctrlPr>
                  </m:fPr>
                  <m:num>
                    <m:sSub>
                      <m:sSubPr>
                        <m:ctrlPr>
                          <w:rPr>
                            <w:rFonts w:ascii="Cambria Math" w:hAnsi="Cambria Math"/>
                            <w:i/>
                            <w:color w:val="000000"/>
                            <w:sz w:val="20"/>
                            <w:szCs w:val="20"/>
                            <w:lang w:val="en-GB" w:eastAsia="en-AU"/>
                          </w:rPr>
                        </m:ctrlPr>
                      </m:sSubPr>
                      <m:e>
                        <m:r>
                          <w:rPr>
                            <w:rFonts w:ascii="Cambria Math" w:hAnsi="Cambria Math"/>
                            <w:color w:val="000000"/>
                            <w:sz w:val="20"/>
                            <w:szCs w:val="20"/>
                            <w:lang w:val="en-GB" w:eastAsia="en-AU"/>
                          </w:rPr>
                          <m:t>Quality</m:t>
                        </m:r>
                      </m:e>
                      <m:sub>
                        <m:r>
                          <w:rPr>
                            <w:rFonts w:ascii="Cambria Math" w:hAnsi="Cambria Math"/>
                            <w:color w:val="000000"/>
                            <w:sz w:val="20"/>
                            <w:szCs w:val="20"/>
                            <w:lang w:val="en-GB" w:eastAsia="en-AU"/>
                          </w:rPr>
                          <m:t>with offset</m:t>
                        </m:r>
                      </m:sub>
                    </m:sSub>
                  </m:num>
                  <m:den>
                    <m:r>
                      <w:rPr>
                        <w:rFonts w:ascii="Cambria Math" w:hAnsi="Cambria Math"/>
                        <w:color w:val="000000"/>
                        <w:sz w:val="20"/>
                        <w:szCs w:val="20"/>
                        <w:lang w:val="en-GB" w:eastAsia="en-AU"/>
                      </w:rPr>
                      <m:t>10</m:t>
                    </m:r>
                  </m:den>
                </m:f>
              </m:e>
            </m:d>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NPV</m:t>
                </m:r>
              </m:e>
              <m:sub>
                <m:r>
                  <w:rPr>
                    <w:rFonts w:ascii="Cambria Math" w:hAnsi="Cambria Math"/>
                    <w:sz w:val="20"/>
                    <w:szCs w:val="20"/>
                    <w:lang w:val="en-GB"/>
                  </w:rPr>
                  <m:t>AGArea</m:t>
                </m:r>
              </m:sub>
            </m:sSub>
          </m:e>
        </m:d>
        <m:r>
          <w:rPr>
            <w:rFonts w:ascii="Cambria Math" w:hAnsi="Cambria Math"/>
            <w:sz w:val="20"/>
            <w:szCs w:val="20"/>
            <w:lang w:val="en-GB"/>
          </w:rPr>
          <m:t xml:space="preserve">+ </m:t>
        </m:r>
        <m:d>
          <m:dPr>
            <m:begChr m:val="["/>
            <m:endChr m:val="]"/>
            <m:ctrlPr>
              <w:rPr>
                <w:rFonts w:ascii="Cambria Math" w:hAnsi="Cambria Math"/>
                <w:i/>
                <w:sz w:val="20"/>
                <w:szCs w:val="20"/>
                <w:lang w:val="en-GB"/>
              </w:rPr>
            </m:ctrlPr>
          </m:dPr>
          <m:e>
            <m:d>
              <m:dPr>
                <m:ctrlPr>
                  <w:rPr>
                    <w:rFonts w:ascii="Cambria Math" w:hAnsi="Cambria Math"/>
                    <w:i/>
                    <w:sz w:val="20"/>
                    <w:szCs w:val="20"/>
                    <w:lang w:val="en-GB"/>
                  </w:rPr>
                </m:ctrlPr>
              </m:dPr>
              <m:e>
                <m:f>
                  <m:fPr>
                    <m:ctrlPr>
                      <w:rPr>
                        <w:rFonts w:ascii="Cambria Math" w:hAnsi="Cambria Math"/>
                        <w:i/>
                        <w:sz w:val="20"/>
                        <w:szCs w:val="20"/>
                        <w:lang w:val="en-GB"/>
                      </w:rPr>
                    </m:ctrlPr>
                  </m:fPr>
                  <m:num>
                    <m:sSub>
                      <m:sSubPr>
                        <m:ctrlPr>
                          <w:rPr>
                            <w:rFonts w:ascii="Cambria Math" w:hAnsi="Cambria Math"/>
                            <w:i/>
                            <w:sz w:val="20"/>
                            <w:szCs w:val="20"/>
                            <w:lang w:val="en-GB"/>
                          </w:rPr>
                        </m:ctrlPr>
                      </m:sSubPr>
                      <m:e>
                        <m:r>
                          <w:rPr>
                            <w:rFonts w:ascii="Cambria Math" w:hAnsi="Cambria Math"/>
                            <w:sz w:val="20"/>
                            <w:szCs w:val="20"/>
                            <w:lang w:val="en-GB"/>
                          </w:rPr>
                          <m:t>NPV</m:t>
                        </m:r>
                      </m:e>
                      <m:sub>
                        <m:r>
                          <w:rPr>
                            <w:rFonts w:ascii="Cambria Math" w:hAnsi="Cambria Math"/>
                            <w:sz w:val="20"/>
                            <w:szCs w:val="20"/>
                            <w:lang w:val="en-GB"/>
                          </w:rPr>
                          <m:t>AGQuality</m:t>
                        </m:r>
                      </m:sub>
                    </m:sSub>
                  </m:num>
                  <m:den>
                    <m:r>
                      <w:rPr>
                        <w:rFonts w:ascii="Cambria Math" w:hAnsi="Cambria Math"/>
                        <w:sz w:val="20"/>
                        <w:szCs w:val="20"/>
                        <w:lang w:val="en-GB"/>
                      </w:rPr>
                      <m:t>10</m:t>
                    </m:r>
                  </m:den>
                </m:f>
              </m:e>
            </m:d>
            <m:r>
              <w:rPr>
                <w:rFonts w:ascii="Cambria Math" w:hAnsi="Cambria Math"/>
                <w:sz w:val="20"/>
                <w:szCs w:val="20"/>
                <w:lang w:val="en-GB"/>
              </w:rPr>
              <m:t>×</m:t>
            </m:r>
            <m:sSub>
              <m:sSubPr>
                <m:ctrlPr>
                  <w:rPr>
                    <w:rFonts w:ascii="Cambria Math" w:hAnsi="Cambria Math"/>
                    <w:i/>
                    <w:color w:val="000000"/>
                    <w:sz w:val="20"/>
                    <w:szCs w:val="20"/>
                    <w:lang w:val="en-GB" w:eastAsia="en-AU"/>
                  </w:rPr>
                </m:ctrlPr>
              </m:sSubPr>
              <m:e>
                <m:r>
                  <w:rPr>
                    <w:rFonts w:ascii="Cambria Math" w:hAnsi="Cambria Math"/>
                    <w:color w:val="000000"/>
                    <w:sz w:val="20"/>
                    <w:szCs w:val="20"/>
                    <w:lang w:val="en-GB" w:eastAsia="en-AU"/>
                  </w:rPr>
                  <m:t>ARoL</m:t>
                </m:r>
              </m:e>
              <m:sub>
                <m:r>
                  <w:rPr>
                    <w:rFonts w:ascii="Cambria Math" w:hAnsi="Cambria Math"/>
                    <w:color w:val="000000"/>
                    <w:sz w:val="20"/>
                    <w:szCs w:val="20"/>
                    <w:lang w:val="en-GB" w:eastAsia="en-AU"/>
                  </w:rPr>
                  <m:t>without offset</m:t>
                </m:r>
              </m:sub>
            </m:sSub>
          </m:e>
        </m:d>
      </m:oMath>
      <w:r w:rsidR="00BC700A" w:rsidRPr="005E6F82">
        <w:rPr>
          <w:rFonts w:ascii="Times New Roman" w:hAnsi="Times New Roman"/>
          <w:sz w:val="20"/>
          <w:szCs w:val="20"/>
          <w:lang w:val="en-GB"/>
        </w:rPr>
        <w:t xml:space="preserve"> </w:t>
      </w:r>
    </w:p>
    <w:p w14:paraId="332B92AC" w14:textId="77777777" w:rsidR="00283778" w:rsidRDefault="00283778" w:rsidP="005E6F82">
      <w:pPr>
        <w:spacing w:after="0" w:line="480" w:lineRule="auto"/>
        <w:jc w:val="center"/>
        <w:rPr>
          <w:rFonts w:ascii="Times New Roman" w:hAnsi="Times New Roman"/>
          <w:sz w:val="20"/>
          <w:szCs w:val="20"/>
          <w:lang w:val="en-GB"/>
        </w:rPr>
      </w:pPr>
    </w:p>
    <w:p w14:paraId="29A6AF6C" w14:textId="77777777" w:rsidR="00283778" w:rsidRPr="00F92BD5" w:rsidRDefault="00283778" w:rsidP="00F92BD5">
      <w:pPr>
        <w:spacing w:after="0" w:line="480" w:lineRule="auto"/>
        <w:rPr>
          <w:rFonts w:ascii="Times New Roman" w:hAnsi="Times New Roman"/>
          <w:b/>
          <w:lang w:val="en-GB"/>
        </w:rPr>
      </w:pPr>
      <w:r w:rsidRPr="00F92BD5">
        <w:rPr>
          <w:rFonts w:ascii="Times New Roman" w:hAnsi="Times New Roman"/>
          <w:b/>
          <w:lang w:val="en-GB"/>
        </w:rPr>
        <w:t>References</w:t>
      </w:r>
    </w:p>
    <w:p w14:paraId="6ADAC15D" w14:textId="77777777" w:rsidR="00F92BD5" w:rsidRPr="00F92BD5" w:rsidRDefault="00F92BD5" w:rsidP="001D1C8D">
      <w:pPr>
        <w:pStyle w:val="Bibliography"/>
        <w:spacing w:after="0" w:line="480" w:lineRule="auto"/>
        <w:rPr>
          <w:rFonts w:ascii="Times New Roman" w:hAnsi="Times New Roman"/>
          <w:color w:val="000000" w:themeColor="text1"/>
          <w:lang w:val="en-GB"/>
        </w:rPr>
      </w:pPr>
    </w:p>
    <w:p w14:paraId="7AA47B07" w14:textId="15566F70" w:rsidR="001D1C8D" w:rsidRPr="009F1CE8" w:rsidRDefault="001D1C8D" w:rsidP="001D1C8D">
      <w:pPr>
        <w:pStyle w:val="Bibliography"/>
        <w:spacing w:after="0" w:line="480" w:lineRule="auto"/>
        <w:rPr>
          <w:rFonts w:ascii="Times New Roman" w:hAnsi="Times New Roman"/>
          <w:color w:val="000000" w:themeColor="text1"/>
          <w:lang w:val="en-GB"/>
        </w:rPr>
      </w:pPr>
      <w:r w:rsidRPr="00F92BD5">
        <w:rPr>
          <w:rFonts w:ascii="Times New Roman" w:hAnsi="Times New Roman"/>
          <w:color w:val="000000" w:themeColor="text1"/>
          <w:lang w:val="en-GB"/>
        </w:rPr>
        <w:t xml:space="preserve">IUCN (2001) </w:t>
      </w:r>
      <w:r w:rsidRPr="00F92BD5">
        <w:rPr>
          <w:rFonts w:ascii="Times New Roman" w:hAnsi="Times New Roman"/>
          <w:iCs/>
          <w:color w:val="000000" w:themeColor="text1"/>
          <w:lang w:val="en-GB"/>
        </w:rPr>
        <w:t>IUCN</w:t>
      </w:r>
      <w:r w:rsidRPr="00412D01">
        <w:rPr>
          <w:rFonts w:ascii="Times New Roman" w:hAnsi="Times New Roman"/>
          <w:iCs/>
          <w:color w:val="000000" w:themeColor="text1"/>
          <w:lang w:val="en-GB"/>
        </w:rPr>
        <w:t xml:space="preserve"> Red List Categories and Criteria: Version 3.1</w:t>
      </w:r>
      <w:r w:rsidRPr="009F1CE8">
        <w:rPr>
          <w:rFonts w:ascii="Times New Roman" w:hAnsi="Times New Roman"/>
          <w:color w:val="000000" w:themeColor="text1"/>
          <w:lang w:val="en-GB"/>
        </w:rPr>
        <w:t>. IUCN</w:t>
      </w:r>
      <w:r>
        <w:rPr>
          <w:rFonts w:ascii="Times New Roman" w:hAnsi="Times New Roman"/>
          <w:color w:val="000000" w:themeColor="text1"/>
          <w:lang w:val="en-GB"/>
        </w:rPr>
        <w:t xml:space="preserve">, </w:t>
      </w:r>
      <w:r w:rsidRPr="009F1CE8">
        <w:rPr>
          <w:rFonts w:ascii="Times New Roman" w:hAnsi="Times New Roman"/>
          <w:color w:val="000000" w:themeColor="text1"/>
          <w:lang w:val="en-GB"/>
        </w:rPr>
        <w:t>Gland, Switzerland and Cambridge, UK</w:t>
      </w:r>
      <w:r w:rsidR="00F92BD5">
        <w:rPr>
          <w:rFonts w:ascii="Times New Roman" w:hAnsi="Times New Roman"/>
          <w:color w:val="000000" w:themeColor="text1"/>
          <w:lang w:val="en-GB"/>
        </w:rPr>
        <w:t xml:space="preserve"> [www document]</w:t>
      </w:r>
      <w:r>
        <w:rPr>
          <w:rFonts w:ascii="Times New Roman" w:hAnsi="Times New Roman"/>
          <w:color w:val="000000" w:themeColor="text1"/>
          <w:lang w:val="en-GB"/>
        </w:rPr>
        <w:t xml:space="preserve">. </w:t>
      </w:r>
      <w:r w:rsidRPr="009F1CE8">
        <w:rPr>
          <w:rFonts w:ascii="Times New Roman" w:hAnsi="Times New Roman"/>
          <w:color w:val="000000" w:themeColor="text1"/>
          <w:lang w:val="en-GB"/>
        </w:rPr>
        <w:t xml:space="preserve"> </w:t>
      </w:r>
      <w:r w:rsidR="00F92BD5">
        <w:rPr>
          <w:rFonts w:ascii="Times New Roman" w:hAnsi="Times New Roman"/>
          <w:color w:val="000000" w:themeColor="text1"/>
          <w:lang w:val="en-GB"/>
        </w:rPr>
        <w:t xml:space="preserve">URL </w:t>
      </w:r>
      <w:r w:rsidR="00F92BD5" w:rsidRPr="00F92BD5">
        <w:rPr>
          <w:rFonts w:ascii="Times New Roman" w:hAnsi="Times New Roman"/>
          <w:color w:val="000000" w:themeColor="text1"/>
          <w:lang w:val="en-GB"/>
        </w:rPr>
        <w:t>http://www.iucnredlist.org/technical-documents/categories-and-criteria/2001-categories-criteria</w:t>
      </w:r>
    </w:p>
    <w:p w14:paraId="1310AF9C" w14:textId="7EBE7D78" w:rsidR="001D1C8D" w:rsidRDefault="001D1C8D" w:rsidP="001D1C8D">
      <w:pPr>
        <w:pStyle w:val="Bibliography"/>
        <w:spacing w:after="0" w:line="480" w:lineRule="auto"/>
        <w:rPr>
          <w:rFonts w:ascii="Times New Roman" w:hAnsi="Times New Roman"/>
          <w:color w:val="000000" w:themeColor="text1"/>
          <w:lang w:val="en-GB"/>
        </w:rPr>
      </w:pPr>
      <w:r w:rsidRPr="009F1CE8">
        <w:rPr>
          <w:rFonts w:ascii="Times New Roman" w:hAnsi="Times New Roman"/>
          <w:color w:val="000000" w:themeColor="text1"/>
          <w:lang w:val="en-GB"/>
        </w:rPr>
        <w:t>Regan</w:t>
      </w:r>
      <w:r>
        <w:rPr>
          <w:rFonts w:ascii="Times New Roman" w:hAnsi="Times New Roman"/>
          <w:color w:val="000000" w:themeColor="text1"/>
          <w:lang w:val="en-GB"/>
        </w:rPr>
        <w:t>,</w:t>
      </w:r>
      <w:r w:rsidRPr="009F1CE8">
        <w:rPr>
          <w:rFonts w:ascii="Times New Roman" w:hAnsi="Times New Roman"/>
          <w:color w:val="000000" w:themeColor="text1"/>
          <w:lang w:val="en-GB"/>
        </w:rPr>
        <w:t xml:space="preserve"> T. J., Taylor</w:t>
      </w:r>
      <w:r>
        <w:rPr>
          <w:rFonts w:ascii="Times New Roman" w:hAnsi="Times New Roman"/>
          <w:color w:val="000000" w:themeColor="text1"/>
          <w:lang w:val="en-GB"/>
        </w:rPr>
        <w:t>,</w:t>
      </w:r>
      <w:r w:rsidRPr="009F1CE8">
        <w:rPr>
          <w:rFonts w:ascii="Times New Roman" w:hAnsi="Times New Roman"/>
          <w:color w:val="000000" w:themeColor="text1"/>
          <w:lang w:val="en-GB"/>
        </w:rPr>
        <w:t xml:space="preserve"> B. L., Thompson</w:t>
      </w:r>
      <w:r>
        <w:rPr>
          <w:rFonts w:ascii="Times New Roman" w:hAnsi="Times New Roman"/>
          <w:color w:val="000000" w:themeColor="text1"/>
          <w:lang w:val="en-GB"/>
        </w:rPr>
        <w:t>,</w:t>
      </w:r>
      <w:r w:rsidRPr="009F1CE8">
        <w:rPr>
          <w:rFonts w:ascii="Times New Roman" w:hAnsi="Times New Roman"/>
          <w:color w:val="000000" w:themeColor="text1"/>
          <w:lang w:val="en-GB"/>
        </w:rPr>
        <w:t xml:space="preserve"> G. G., Cochrane</w:t>
      </w:r>
      <w:r>
        <w:rPr>
          <w:rFonts w:ascii="Times New Roman" w:hAnsi="Times New Roman"/>
          <w:color w:val="000000" w:themeColor="text1"/>
          <w:lang w:val="en-GB"/>
        </w:rPr>
        <w:t>,</w:t>
      </w:r>
      <w:r w:rsidRPr="009F1CE8">
        <w:rPr>
          <w:rFonts w:ascii="Times New Roman" w:hAnsi="Times New Roman"/>
          <w:color w:val="000000" w:themeColor="text1"/>
          <w:lang w:val="en-GB"/>
        </w:rPr>
        <w:t xml:space="preserve"> J. F., Ralls</w:t>
      </w:r>
      <w:r>
        <w:rPr>
          <w:rFonts w:ascii="Times New Roman" w:hAnsi="Times New Roman"/>
          <w:color w:val="000000" w:themeColor="text1"/>
          <w:lang w:val="en-GB"/>
        </w:rPr>
        <w:t>,</w:t>
      </w:r>
      <w:r w:rsidRPr="009F1CE8">
        <w:rPr>
          <w:rFonts w:ascii="Times New Roman" w:hAnsi="Times New Roman"/>
          <w:color w:val="000000" w:themeColor="text1"/>
          <w:lang w:val="en-GB"/>
        </w:rPr>
        <w:t xml:space="preserve"> K., Runge</w:t>
      </w:r>
      <w:r>
        <w:rPr>
          <w:rFonts w:ascii="Times New Roman" w:hAnsi="Times New Roman"/>
          <w:color w:val="000000" w:themeColor="text1"/>
          <w:lang w:val="en-GB"/>
        </w:rPr>
        <w:t>,</w:t>
      </w:r>
      <w:r w:rsidRPr="009F1CE8">
        <w:rPr>
          <w:rFonts w:ascii="Times New Roman" w:hAnsi="Times New Roman"/>
          <w:color w:val="000000" w:themeColor="text1"/>
          <w:lang w:val="en-GB"/>
        </w:rPr>
        <w:t xml:space="preserve"> M. C. &amp; Merrick</w:t>
      </w:r>
      <w:r>
        <w:rPr>
          <w:rFonts w:ascii="Times New Roman" w:hAnsi="Times New Roman"/>
          <w:color w:val="000000" w:themeColor="text1"/>
          <w:lang w:val="en-GB"/>
        </w:rPr>
        <w:t>,</w:t>
      </w:r>
      <w:r w:rsidRPr="009F1CE8">
        <w:rPr>
          <w:rFonts w:ascii="Times New Roman" w:hAnsi="Times New Roman"/>
          <w:color w:val="000000" w:themeColor="text1"/>
          <w:lang w:val="en-GB"/>
        </w:rPr>
        <w:t xml:space="preserve"> R. (2013) </w:t>
      </w:r>
      <w:r>
        <w:rPr>
          <w:rFonts w:ascii="Times New Roman" w:hAnsi="Times New Roman"/>
          <w:color w:val="000000" w:themeColor="text1"/>
          <w:lang w:val="en-GB"/>
        </w:rPr>
        <w:t>T</w:t>
      </w:r>
      <w:r w:rsidRPr="009F1CE8">
        <w:rPr>
          <w:rFonts w:ascii="Times New Roman" w:hAnsi="Times New Roman"/>
          <w:color w:val="000000" w:themeColor="text1"/>
          <w:lang w:val="en-GB"/>
        </w:rPr>
        <w:t xml:space="preserve">esting decision rules for categorizing species’ extinction risk to help develop quantitative listing criteria for the </w:t>
      </w:r>
      <w:r>
        <w:rPr>
          <w:rFonts w:ascii="Times New Roman" w:hAnsi="Times New Roman"/>
          <w:color w:val="000000" w:themeColor="text1"/>
          <w:lang w:val="en-GB"/>
        </w:rPr>
        <w:t>US</w:t>
      </w:r>
      <w:bookmarkStart w:id="0" w:name="_GoBack"/>
      <w:bookmarkEnd w:id="0"/>
      <w:r w:rsidRPr="009F1CE8">
        <w:rPr>
          <w:rFonts w:ascii="Times New Roman" w:hAnsi="Times New Roman"/>
          <w:color w:val="000000" w:themeColor="text1"/>
          <w:lang w:val="en-GB"/>
        </w:rPr>
        <w:t xml:space="preserve"> </w:t>
      </w:r>
      <w:r>
        <w:rPr>
          <w:rFonts w:ascii="Times New Roman" w:hAnsi="Times New Roman"/>
          <w:color w:val="000000" w:themeColor="text1"/>
          <w:lang w:val="en-GB"/>
        </w:rPr>
        <w:t>E</w:t>
      </w:r>
      <w:r w:rsidRPr="009F1CE8">
        <w:rPr>
          <w:rFonts w:ascii="Times New Roman" w:hAnsi="Times New Roman"/>
          <w:color w:val="000000" w:themeColor="text1"/>
          <w:lang w:val="en-GB"/>
        </w:rPr>
        <w:t xml:space="preserve">ndangered </w:t>
      </w:r>
      <w:r>
        <w:rPr>
          <w:rFonts w:ascii="Times New Roman" w:hAnsi="Times New Roman"/>
          <w:color w:val="000000" w:themeColor="text1"/>
          <w:lang w:val="en-GB"/>
        </w:rPr>
        <w:t>S</w:t>
      </w:r>
      <w:r w:rsidRPr="009F1CE8">
        <w:rPr>
          <w:rFonts w:ascii="Times New Roman" w:hAnsi="Times New Roman"/>
          <w:color w:val="000000" w:themeColor="text1"/>
          <w:lang w:val="en-GB"/>
        </w:rPr>
        <w:t xml:space="preserve">pecies </w:t>
      </w:r>
      <w:r>
        <w:rPr>
          <w:rFonts w:ascii="Times New Roman" w:hAnsi="Times New Roman"/>
          <w:color w:val="000000" w:themeColor="text1"/>
          <w:lang w:val="en-GB"/>
        </w:rPr>
        <w:t>A</w:t>
      </w:r>
      <w:r w:rsidRPr="009F1CE8">
        <w:rPr>
          <w:rFonts w:ascii="Times New Roman" w:hAnsi="Times New Roman"/>
          <w:color w:val="000000" w:themeColor="text1"/>
          <w:lang w:val="en-GB"/>
        </w:rPr>
        <w:t xml:space="preserve">ct. </w:t>
      </w:r>
      <w:r w:rsidRPr="009F1CE8">
        <w:rPr>
          <w:rFonts w:ascii="Times New Roman" w:hAnsi="Times New Roman"/>
          <w:i/>
          <w:iCs/>
          <w:color w:val="000000" w:themeColor="text1"/>
          <w:lang w:val="en-GB"/>
        </w:rPr>
        <w:t xml:space="preserve">Conservation Biology </w:t>
      </w:r>
      <w:r w:rsidRPr="009F1CE8">
        <w:rPr>
          <w:rFonts w:ascii="Times New Roman" w:hAnsi="Times New Roman"/>
          <w:b/>
          <w:iCs/>
          <w:color w:val="000000" w:themeColor="text1"/>
          <w:lang w:val="en-GB"/>
        </w:rPr>
        <w:t>27</w:t>
      </w:r>
      <w:r w:rsidRPr="00F92BD5">
        <w:rPr>
          <w:rFonts w:ascii="Times New Roman" w:hAnsi="Times New Roman"/>
          <w:bCs/>
          <w:color w:val="000000" w:themeColor="text1"/>
          <w:lang w:val="en-GB"/>
        </w:rPr>
        <w:t>:</w:t>
      </w:r>
      <w:r w:rsidRPr="009F1CE8">
        <w:rPr>
          <w:rFonts w:ascii="Times New Roman" w:hAnsi="Times New Roman"/>
          <w:color w:val="000000" w:themeColor="text1"/>
          <w:lang w:val="en-GB"/>
        </w:rPr>
        <w:t xml:space="preserve"> 821-831</w:t>
      </w:r>
      <w:r w:rsidR="00F92BD5">
        <w:rPr>
          <w:rFonts w:ascii="Times New Roman" w:hAnsi="Times New Roman"/>
          <w:color w:val="000000" w:themeColor="text1"/>
          <w:lang w:val="en-GB"/>
        </w:rPr>
        <w:t>.</w:t>
      </w:r>
    </w:p>
    <w:p w14:paraId="022DB517" w14:textId="77777777" w:rsidR="00C879A9" w:rsidRPr="009F1CE8" w:rsidRDefault="00C879A9" w:rsidP="00C879A9">
      <w:pPr>
        <w:spacing w:after="0" w:line="480" w:lineRule="auto"/>
        <w:ind w:left="720" w:hanging="720"/>
        <w:rPr>
          <w:rFonts w:ascii="Times New Roman" w:hAnsi="Times New Roman"/>
          <w:color w:val="000000" w:themeColor="text1"/>
          <w:lang w:val="en-GB"/>
        </w:rPr>
      </w:pPr>
      <w:r w:rsidRPr="009F1CE8">
        <w:rPr>
          <w:rFonts w:ascii="Times New Roman" w:hAnsi="Times New Roman"/>
          <w:color w:val="000000" w:themeColor="text1"/>
          <w:lang w:val="en-GB"/>
        </w:rPr>
        <w:t>US Senate (2002) Endangered Species Act of 1973. Public Law 93–205, approved Dec 28, 1973, 87 Stat. 884 (as amended through Public Law 107–136, Jan 24, 2002) [www document]. URL http://www.epw.senate.gov/esa73.pdf</w:t>
      </w:r>
    </w:p>
    <w:p w14:paraId="2E88D66C" w14:textId="383AA1D5" w:rsidR="00283778" w:rsidRDefault="00283778" w:rsidP="00283778">
      <w:pPr>
        <w:pStyle w:val="Bibliography"/>
        <w:spacing w:after="0" w:line="480" w:lineRule="auto"/>
        <w:rPr>
          <w:rFonts w:ascii="Times New Roman" w:hAnsi="Times New Roman"/>
          <w:color w:val="000000" w:themeColor="text1"/>
          <w:lang w:val="en-GB"/>
        </w:rPr>
      </w:pPr>
      <w:r>
        <w:rPr>
          <w:rFonts w:ascii="Times New Roman" w:hAnsi="Times New Roman"/>
          <w:color w:val="000000" w:themeColor="text1"/>
          <w:lang w:val="en-GB"/>
        </w:rPr>
        <w:t xml:space="preserve">Verburg, P. H., Schot, P. P., Dijst, M. J. &amp; Veldkamp, A. (2004) Land use change modelling: current practice and research priorities. </w:t>
      </w:r>
      <w:r>
        <w:rPr>
          <w:rFonts w:ascii="Times New Roman" w:hAnsi="Times New Roman"/>
          <w:i/>
          <w:iCs/>
          <w:color w:val="000000" w:themeColor="text1"/>
          <w:lang w:val="en-GB"/>
        </w:rPr>
        <w:t>GeoJournal</w:t>
      </w:r>
      <w:r>
        <w:rPr>
          <w:rFonts w:ascii="Times New Roman" w:hAnsi="Times New Roman"/>
          <w:color w:val="000000" w:themeColor="text1"/>
          <w:lang w:val="en-GB"/>
        </w:rPr>
        <w:t xml:space="preserve"> </w:t>
      </w:r>
      <w:r>
        <w:rPr>
          <w:rFonts w:ascii="Times New Roman" w:hAnsi="Times New Roman"/>
          <w:b/>
          <w:bCs/>
          <w:color w:val="000000" w:themeColor="text1"/>
          <w:lang w:val="en-GB"/>
        </w:rPr>
        <w:t>61</w:t>
      </w:r>
      <w:r w:rsidRPr="00F92BD5">
        <w:rPr>
          <w:rFonts w:ascii="Times New Roman" w:hAnsi="Times New Roman"/>
          <w:bCs/>
          <w:color w:val="000000" w:themeColor="text1"/>
          <w:lang w:val="en-GB"/>
        </w:rPr>
        <w:t>:</w:t>
      </w:r>
      <w:r>
        <w:rPr>
          <w:rFonts w:ascii="Times New Roman" w:hAnsi="Times New Roman"/>
          <w:color w:val="000000" w:themeColor="text1"/>
          <w:lang w:val="en-GB"/>
        </w:rPr>
        <w:t xml:space="preserve"> 309–324</w:t>
      </w:r>
      <w:r w:rsidR="00F92BD5">
        <w:rPr>
          <w:rFonts w:ascii="Times New Roman" w:hAnsi="Times New Roman"/>
          <w:color w:val="000000" w:themeColor="text1"/>
          <w:lang w:val="en-GB"/>
        </w:rPr>
        <w:t>.</w:t>
      </w:r>
    </w:p>
    <w:p w14:paraId="5296C760" w14:textId="77777777" w:rsidR="00283778" w:rsidRPr="00F92BD5" w:rsidRDefault="00283778" w:rsidP="00F92BD5">
      <w:pPr>
        <w:spacing w:after="0" w:line="480" w:lineRule="auto"/>
        <w:rPr>
          <w:rFonts w:ascii="Times New Roman" w:hAnsi="Times New Roman"/>
          <w:b/>
          <w:sz w:val="20"/>
          <w:szCs w:val="20"/>
          <w:lang w:val="en-GB"/>
        </w:rPr>
      </w:pPr>
    </w:p>
    <w:sectPr w:rsidR="00283778" w:rsidRPr="00F92BD5" w:rsidSect="005E6F82">
      <w:headerReference w:type="even" r:id="rId15"/>
      <w:footerReference w:type="default" r:id="rId16"/>
      <w:headerReference w:type="first" r:id="rId17"/>
      <w:footerReference w:type="first" r:id="rId18"/>
      <w:pgSz w:w="11906" w:h="16838" w:code="9"/>
      <w:pgMar w:top="1440" w:right="1080" w:bottom="1440" w:left="1080"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C1C43" w14:textId="77777777" w:rsidR="00AA2426" w:rsidRDefault="00AA2426" w:rsidP="00A60185">
      <w:pPr>
        <w:spacing w:after="0" w:line="240" w:lineRule="auto"/>
      </w:pPr>
      <w:r>
        <w:separator/>
      </w:r>
    </w:p>
  </w:endnote>
  <w:endnote w:type="continuationSeparator" w:id="0">
    <w:p w14:paraId="12835182" w14:textId="77777777" w:rsidR="00AA2426" w:rsidRDefault="00AA2426"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F061" w14:textId="77777777" w:rsidR="00601538" w:rsidRDefault="00393CE4">
    <w:pPr>
      <w:pStyle w:val="Footer"/>
      <w:jc w:val="center"/>
    </w:pPr>
    <w:r>
      <w:fldChar w:fldCharType="begin"/>
    </w:r>
    <w:r w:rsidR="00601538">
      <w:instrText xml:space="preserve"> PAGE   \* MERGEFORMAT </w:instrText>
    </w:r>
    <w:r>
      <w:fldChar w:fldCharType="separate"/>
    </w:r>
    <w:r w:rsidR="000351BD">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217899"/>
      <w:docPartObj>
        <w:docPartGallery w:val="Page Numbers (Bottom of Page)"/>
        <w:docPartUnique/>
      </w:docPartObj>
    </w:sdtPr>
    <w:sdtEndPr>
      <w:rPr>
        <w:noProof/>
      </w:rPr>
    </w:sdtEndPr>
    <w:sdtContent>
      <w:p w14:paraId="3CC026E6" w14:textId="77777777" w:rsidR="00601538" w:rsidRDefault="00393CE4">
        <w:pPr>
          <w:pStyle w:val="Footer"/>
          <w:jc w:val="center"/>
        </w:pPr>
        <w:r>
          <w:fldChar w:fldCharType="begin"/>
        </w:r>
        <w:r w:rsidR="00601538">
          <w:instrText xml:space="preserve"> PAGE   \* MERGEFORMAT </w:instrText>
        </w:r>
        <w:r>
          <w:fldChar w:fldCharType="separate"/>
        </w:r>
        <w:r w:rsidR="000351BD">
          <w:rPr>
            <w:noProof/>
          </w:rPr>
          <w:t>1</w:t>
        </w:r>
        <w:r>
          <w:rPr>
            <w:noProof/>
          </w:rPr>
          <w:fldChar w:fldCharType="end"/>
        </w:r>
      </w:p>
    </w:sdtContent>
  </w:sdt>
  <w:p w14:paraId="32A11701" w14:textId="77777777" w:rsidR="00601538" w:rsidRDefault="0060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B0CC4" w14:textId="77777777" w:rsidR="00AA2426" w:rsidRDefault="00AA2426" w:rsidP="00A60185">
      <w:pPr>
        <w:spacing w:after="0" w:line="240" w:lineRule="auto"/>
      </w:pPr>
      <w:r>
        <w:separator/>
      </w:r>
    </w:p>
  </w:footnote>
  <w:footnote w:type="continuationSeparator" w:id="0">
    <w:p w14:paraId="24652AAA" w14:textId="77777777" w:rsidR="00AA2426" w:rsidRDefault="00AA2426"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2DDE" w14:textId="77777777" w:rsidR="00601538" w:rsidRDefault="00393CE4" w:rsidP="00E45765">
    <w:pPr>
      <w:pStyle w:val="Classification"/>
    </w:pPr>
    <w:r>
      <w:fldChar w:fldCharType="begin"/>
    </w:r>
    <w:r w:rsidR="00601538">
      <w:instrText xml:space="preserve"> DOCPROPERTY SecurityClassification \* MERGEFORMAT </w:instrText>
    </w:r>
    <w:r>
      <w:fldChar w:fldCharType="separate"/>
    </w:r>
    <w:r w:rsidR="00F92BD5">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17B2" w14:textId="77777777" w:rsidR="007C0A48" w:rsidRPr="007C0A48" w:rsidRDefault="007C0A48">
    <w:pPr>
      <w:pStyle w:val="Head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6A4D88"/>
    <w:lvl w:ilvl="0">
      <w:start w:val="1"/>
      <w:numFmt w:val="decimal"/>
      <w:lvlText w:val="%1."/>
      <w:lvlJc w:val="left"/>
      <w:pPr>
        <w:tabs>
          <w:tab w:val="num" w:pos="1492"/>
        </w:tabs>
        <w:ind w:left="1492" w:hanging="360"/>
      </w:pPr>
    </w:lvl>
  </w:abstractNum>
  <w:abstractNum w:abstractNumId="1">
    <w:nsid w:val="FFFFFF7D"/>
    <w:multiLevelType w:val="singleLevel"/>
    <w:tmpl w:val="2090A8FA"/>
    <w:lvl w:ilvl="0">
      <w:start w:val="1"/>
      <w:numFmt w:val="decimal"/>
      <w:lvlText w:val="%1."/>
      <w:lvlJc w:val="left"/>
      <w:pPr>
        <w:tabs>
          <w:tab w:val="num" w:pos="1209"/>
        </w:tabs>
        <w:ind w:left="1209" w:hanging="360"/>
      </w:pPr>
    </w:lvl>
  </w:abstractNum>
  <w:abstractNum w:abstractNumId="2">
    <w:nsid w:val="FFFFFF7E"/>
    <w:multiLevelType w:val="singleLevel"/>
    <w:tmpl w:val="8D462BDC"/>
    <w:lvl w:ilvl="0">
      <w:start w:val="1"/>
      <w:numFmt w:val="decimal"/>
      <w:lvlText w:val="%1."/>
      <w:lvlJc w:val="left"/>
      <w:pPr>
        <w:tabs>
          <w:tab w:val="num" w:pos="926"/>
        </w:tabs>
        <w:ind w:left="926" w:hanging="360"/>
      </w:pPr>
    </w:lvl>
  </w:abstractNum>
  <w:abstractNum w:abstractNumId="3">
    <w:nsid w:val="FFFFFF7F"/>
    <w:multiLevelType w:val="singleLevel"/>
    <w:tmpl w:val="77B8748C"/>
    <w:lvl w:ilvl="0">
      <w:start w:val="1"/>
      <w:numFmt w:val="decimal"/>
      <w:lvlText w:val="%1."/>
      <w:lvlJc w:val="left"/>
      <w:pPr>
        <w:tabs>
          <w:tab w:val="num" w:pos="643"/>
        </w:tabs>
        <w:ind w:left="643" w:hanging="360"/>
      </w:pPr>
    </w:lvl>
  </w:abstractNum>
  <w:abstractNum w:abstractNumId="4">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D68994"/>
    <w:lvl w:ilvl="0">
      <w:start w:val="1"/>
      <w:numFmt w:val="decimal"/>
      <w:lvlText w:val="%1."/>
      <w:lvlJc w:val="left"/>
      <w:pPr>
        <w:tabs>
          <w:tab w:val="num" w:pos="360"/>
        </w:tabs>
        <w:ind w:left="360" w:hanging="360"/>
      </w:pPr>
    </w:lvl>
  </w:abstractNum>
  <w:abstractNum w:abstractNumId="9">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nsid w:val="05EC64B3"/>
    <w:multiLevelType w:val="multilevel"/>
    <w:tmpl w:val="E5E89F92"/>
    <w:numStyleLink w:val="BulletList"/>
  </w:abstractNum>
  <w:abstractNum w:abstractNumId="12">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EAA328F"/>
    <w:multiLevelType w:val="hybridMultilevel"/>
    <w:tmpl w:val="E7649810"/>
    <w:lvl w:ilvl="0" w:tplc="093811E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AB21CC"/>
    <w:multiLevelType w:val="multilevel"/>
    <w:tmpl w:val="E898CC72"/>
    <w:numStyleLink w:val="KeyPoints"/>
  </w:abstractNum>
  <w:abstractNum w:abstractNumId="16">
    <w:nsid w:val="1784511A"/>
    <w:multiLevelType w:val="multilevel"/>
    <w:tmpl w:val="E898CC72"/>
    <w:numStyleLink w:val="KeyPoints"/>
  </w:abstractNum>
  <w:abstractNum w:abstractNumId="17">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C291970"/>
    <w:multiLevelType w:val="multilevel"/>
    <w:tmpl w:val="E898CC72"/>
    <w:numStyleLink w:val="KeyPoints"/>
  </w:abstractNum>
  <w:abstractNum w:abstractNumId="19">
    <w:nsid w:val="1F745BC2"/>
    <w:multiLevelType w:val="multilevel"/>
    <w:tmpl w:val="E5E89F92"/>
    <w:numStyleLink w:val="BulletList"/>
  </w:abstractNum>
  <w:abstractNum w:abstractNumId="20">
    <w:nsid w:val="22D03AB8"/>
    <w:multiLevelType w:val="hybridMultilevel"/>
    <w:tmpl w:val="AF6C628C"/>
    <w:lvl w:ilvl="0" w:tplc="35A4672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nsid w:val="29253B4A"/>
    <w:multiLevelType w:val="multilevel"/>
    <w:tmpl w:val="E898CC72"/>
    <w:numStyleLink w:val="KeyPoints"/>
  </w:abstractNum>
  <w:abstractNum w:abstractNumId="22">
    <w:nsid w:val="2C1B4F6C"/>
    <w:multiLevelType w:val="multilevel"/>
    <w:tmpl w:val="E898CC72"/>
    <w:numStyleLink w:val="KeyPoints"/>
  </w:abstractNum>
  <w:abstractNum w:abstractNumId="23">
    <w:nsid w:val="2C4B7C67"/>
    <w:multiLevelType w:val="hybridMultilevel"/>
    <w:tmpl w:val="4468B0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16F9C"/>
    <w:multiLevelType w:val="multilevel"/>
    <w:tmpl w:val="E5E89F92"/>
    <w:numStyleLink w:val="BulletList"/>
  </w:abstractNum>
  <w:abstractNum w:abstractNumId="28">
    <w:nsid w:val="3B351B82"/>
    <w:multiLevelType w:val="multilevel"/>
    <w:tmpl w:val="E5E89F92"/>
    <w:numStyleLink w:val="BulletList"/>
  </w:abstractNum>
  <w:abstractNum w:abstractNumId="29">
    <w:nsid w:val="48B871CF"/>
    <w:multiLevelType w:val="multilevel"/>
    <w:tmpl w:val="E5E89F92"/>
    <w:numStyleLink w:val="BulletList"/>
  </w:abstractNum>
  <w:abstractNum w:abstractNumId="30">
    <w:nsid w:val="49016841"/>
    <w:multiLevelType w:val="multilevel"/>
    <w:tmpl w:val="E5E89F92"/>
    <w:numStyleLink w:val="BulletList"/>
  </w:abstractNum>
  <w:abstractNum w:abstractNumId="31">
    <w:nsid w:val="4B217A2E"/>
    <w:multiLevelType w:val="hybridMultilevel"/>
    <w:tmpl w:val="EAA0C262"/>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0176AE"/>
    <w:multiLevelType w:val="hybridMultilevel"/>
    <w:tmpl w:val="81E0D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A44175"/>
    <w:multiLevelType w:val="multilevel"/>
    <w:tmpl w:val="E5E89F92"/>
    <w:numStyleLink w:val="BulletList"/>
  </w:abstractNum>
  <w:abstractNum w:abstractNumId="34">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456429"/>
    <w:multiLevelType w:val="multilevel"/>
    <w:tmpl w:val="E898CC72"/>
    <w:numStyleLink w:val="KeyPoints"/>
  </w:abstractNum>
  <w:abstractNum w:abstractNumId="36">
    <w:nsid w:val="672E0C2A"/>
    <w:multiLevelType w:val="multilevel"/>
    <w:tmpl w:val="E5E89F92"/>
    <w:numStyleLink w:val="BulletList"/>
  </w:abstractNum>
  <w:abstractNum w:abstractNumId="37">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A823B13"/>
    <w:multiLevelType w:val="multilevel"/>
    <w:tmpl w:val="E5E89F92"/>
    <w:numStyleLink w:val="BulletList"/>
  </w:abstractNum>
  <w:abstractNum w:abstractNumId="40">
    <w:nsid w:val="6DF2198A"/>
    <w:multiLevelType w:val="multilevel"/>
    <w:tmpl w:val="E5E89F92"/>
    <w:numStyleLink w:val="BulletList"/>
  </w:abstractNum>
  <w:abstractNum w:abstractNumId="41">
    <w:nsid w:val="6F032444"/>
    <w:multiLevelType w:val="multilevel"/>
    <w:tmpl w:val="E5E89F92"/>
    <w:numStyleLink w:val="BulletList"/>
  </w:abstractNum>
  <w:abstractNum w:abstractNumId="42">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C700E0"/>
    <w:multiLevelType w:val="multilevel"/>
    <w:tmpl w:val="E898CC72"/>
    <w:numStyleLink w:val="KeyPoints"/>
  </w:abstractNum>
  <w:abstractNum w:abstractNumId="45">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6">
    <w:nsid w:val="788260C9"/>
    <w:multiLevelType w:val="multilevel"/>
    <w:tmpl w:val="E898CC72"/>
    <w:numStyleLink w:val="KeyPoints"/>
  </w:abstractNum>
  <w:abstractNum w:abstractNumId="47">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D3708B3"/>
    <w:multiLevelType w:val="multilevel"/>
    <w:tmpl w:val="E5E89F92"/>
    <w:numStyleLink w:val="BulletList"/>
  </w:abstractNum>
  <w:num w:numId="1">
    <w:abstractNumId w:val="45"/>
  </w:num>
  <w:num w:numId="2">
    <w:abstractNumId w:val="16"/>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9"/>
  </w:num>
  <w:num w:numId="5">
    <w:abstractNumId w:val="42"/>
  </w:num>
  <w:num w:numId="6">
    <w:abstractNumId w:val="43"/>
  </w:num>
  <w:num w:numId="7">
    <w:abstractNumId w:val="38"/>
  </w:num>
  <w:num w:numId="8">
    <w:abstractNumId w:val="24"/>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7"/>
  </w:num>
  <w:num w:numId="16">
    <w:abstractNumId w:val="47"/>
  </w:num>
  <w:num w:numId="17">
    <w:abstractNumId w:val="12"/>
  </w:num>
  <w:num w:numId="18">
    <w:abstractNumId w:val="36"/>
  </w:num>
  <w:num w:numId="19">
    <w:abstractNumId w:val="11"/>
  </w:num>
  <w:num w:numId="20">
    <w:abstractNumId w:val="22"/>
  </w:num>
  <w:num w:numId="21">
    <w:abstractNumId w:val="15"/>
  </w:num>
  <w:num w:numId="22">
    <w:abstractNumId w:val="21"/>
  </w:num>
  <w:num w:numId="23">
    <w:abstractNumId w:val="30"/>
  </w:num>
  <w:num w:numId="24">
    <w:abstractNumId w:val="41"/>
  </w:num>
  <w:num w:numId="25">
    <w:abstractNumId w:val="37"/>
  </w:num>
  <w:num w:numId="26">
    <w:abstractNumId w:val="28"/>
  </w:num>
  <w:num w:numId="27">
    <w:abstractNumId w:val="44"/>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 w:numId="31">
    <w:abstractNumId w:val="40"/>
  </w:num>
  <w:num w:numId="32">
    <w:abstractNumId w:val="37"/>
  </w:num>
  <w:num w:numId="33">
    <w:abstractNumId w:val="33"/>
  </w:num>
  <w:num w:numId="34">
    <w:abstractNumId w:val="18"/>
  </w:num>
  <w:num w:numId="35">
    <w:abstractNumId w:val="34"/>
  </w:num>
  <w:num w:numId="36">
    <w:abstractNumId w:val="48"/>
  </w:num>
  <w:num w:numId="37">
    <w:abstractNumId w:val="48"/>
    <w:lvlOverride w:ilvl="0">
      <w:startOverride w:val="1"/>
    </w:lvlOverride>
  </w:num>
  <w:num w:numId="38">
    <w:abstractNumId w:val="8"/>
  </w:num>
  <w:num w:numId="39">
    <w:abstractNumId w:val="25"/>
  </w:num>
  <w:num w:numId="40">
    <w:abstractNumId w:val="3"/>
  </w:num>
  <w:num w:numId="41">
    <w:abstractNumId w:val="2"/>
  </w:num>
  <w:num w:numId="42">
    <w:abstractNumId w:val="1"/>
  </w:num>
  <w:num w:numId="43">
    <w:abstractNumId w:val="0"/>
  </w:num>
  <w:num w:numId="44">
    <w:abstractNumId w:val="46"/>
  </w:num>
  <w:num w:numId="45">
    <w:abstractNumId w:val="39"/>
  </w:num>
  <w:num w:numId="46">
    <w:abstractNumId w:val="49"/>
  </w:num>
  <w:num w:numId="47">
    <w:abstractNumId w:val="35"/>
  </w:num>
  <w:num w:numId="48">
    <w:abstractNumId w:val="19"/>
  </w:num>
  <w:num w:numId="49">
    <w:abstractNumId w:val="14"/>
  </w:num>
  <w:num w:numId="50">
    <w:abstractNumId w:val="31"/>
  </w:num>
  <w:num w:numId="51">
    <w:abstractNumId w:val="23"/>
  </w:num>
  <w:num w:numId="52">
    <w:abstractNumId w:val="20"/>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C44DB8"/>
    <w:rsid w:val="00001A1D"/>
    <w:rsid w:val="00003096"/>
    <w:rsid w:val="00004AEE"/>
    <w:rsid w:val="00005CAA"/>
    <w:rsid w:val="00006F7B"/>
    <w:rsid w:val="00007C61"/>
    <w:rsid w:val="00010210"/>
    <w:rsid w:val="00012D66"/>
    <w:rsid w:val="00012DA5"/>
    <w:rsid w:val="00015ADA"/>
    <w:rsid w:val="00016298"/>
    <w:rsid w:val="000168C7"/>
    <w:rsid w:val="000202D2"/>
    <w:rsid w:val="00020C99"/>
    <w:rsid w:val="000224AA"/>
    <w:rsid w:val="00022D37"/>
    <w:rsid w:val="0002575F"/>
    <w:rsid w:val="0002707B"/>
    <w:rsid w:val="000351BD"/>
    <w:rsid w:val="000377CA"/>
    <w:rsid w:val="00045BA0"/>
    <w:rsid w:val="000472E4"/>
    <w:rsid w:val="0005148E"/>
    <w:rsid w:val="00051544"/>
    <w:rsid w:val="00056EDD"/>
    <w:rsid w:val="000574A8"/>
    <w:rsid w:val="00062C81"/>
    <w:rsid w:val="00064137"/>
    <w:rsid w:val="00066680"/>
    <w:rsid w:val="00067826"/>
    <w:rsid w:val="00071BA0"/>
    <w:rsid w:val="000721E3"/>
    <w:rsid w:val="00072C5A"/>
    <w:rsid w:val="0007391B"/>
    <w:rsid w:val="0007456E"/>
    <w:rsid w:val="0007563C"/>
    <w:rsid w:val="000759E5"/>
    <w:rsid w:val="00076756"/>
    <w:rsid w:val="00080446"/>
    <w:rsid w:val="00081913"/>
    <w:rsid w:val="00081970"/>
    <w:rsid w:val="00081D1B"/>
    <w:rsid w:val="00084AC6"/>
    <w:rsid w:val="000855F0"/>
    <w:rsid w:val="00091608"/>
    <w:rsid w:val="0009174D"/>
    <w:rsid w:val="00092424"/>
    <w:rsid w:val="0009333C"/>
    <w:rsid w:val="00095695"/>
    <w:rsid w:val="00095AA2"/>
    <w:rsid w:val="00095D91"/>
    <w:rsid w:val="000962C8"/>
    <w:rsid w:val="00096D9A"/>
    <w:rsid w:val="0009704F"/>
    <w:rsid w:val="000A00FC"/>
    <w:rsid w:val="000A078C"/>
    <w:rsid w:val="000A07D5"/>
    <w:rsid w:val="000A0F11"/>
    <w:rsid w:val="000A125A"/>
    <w:rsid w:val="000A57CD"/>
    <w:rsid w:val="000A67AD"/>
    <w:rsid w:val="000B3747"/>
    <w:rsid w:val="000B3758"/>
    <w:rsid w:val="000B4490"/>
    <w:rsid w:val="000B6453"/>
    <w:rsid w:val="000B704B"/>
    <w:rsid w:val="000B7681"/>
    <w:rsid w:val="000B7B42"/>
    <w:rsid w:val="000C01C6"/>
    <w:rsid w:val="000C02B7"/>
    <w:rsid w:val="000C335C"/>
    <w:rsid w:val="000C5100"/>
    <w:rsid w:val="000C5342"/>
    <w:rsid w:val="000C706A"/>
    <w:rsid w:val="000D0437"/>
    <w:rsid w:val="000D2887"/>
    <w:rsid w:val="000D313C"/>
    <w:rsid w:val="000D3FFD"/>
    <w:rsid w:val="000D45C7"/>
    <w:rsid w:val="000D4E98"/>
    <w:rsid w:val="000D68A0"/>
    <w:rsid w:val="000D6D63"/>
    <w:rsid w:val="000E0081"/>
    <w:rsid w:val="000E0086"/>
    <w:rsid w:val="000E0634"/>
    <w:rsid w:val="000E07CF"/>
    <w:rsid w:val="000E2E6F"/>
    <w:rsid w:val="000E31C1"/>
    <w:rsid w:val="000F0A12"/>
    <w:rsid w:val="000F2CF2"/>
    <w:rsid w:val="000F4594"/>
    <w:rsid w:val="000F5A50"/>
    <w:rsid w:val="000F7D83"/>
    <w:rsid w:val="00100BEF"/>
    <w:rsid w:val="00102ED6"/>
    <w:rsid w:val="00111326"/>
    <w:rsid w:val="0011498E"/>
    <w:rsid w:val="001149A9"/>
    <w:rsid w:val="00114EE5"/>
    <w:rsid w:val="00117A45"/>
    <w:rsid w:val="001224AE"/>
    <w:rsid w:val="00124E2D"/>
    <w:rsid w:val="00131A43"/>
    <w:rsid w:val="001331AD"/>
    <w:rsid w:val="001337D4"/>
    <w:rsid w:val="0013514D"/>
    <w:rsid w:val="001421B2"/>
    <w:rsid w:val="00142DF1"/>
    <w:rsid w:val="0014583A"/>
    <w:rsid w:val="00145B30"/>
    <w:rsid w:val="00147226"/>
    <w:rsid w:val="00147C12"/>
    <w:rsid w:val="00147C3D"/>
    <w:rsid w:val="001527A1"/>
    <w:rsid w:val="001530DC"/>
    <w:rsid w:val="00154989"/>
    <w:rsid w:val="00155A9F"/>
    <w:rsid w:val="00156B1C"/>
    <w:rsid w:val="00160262"/>
    <w:rsid w:val="00164402"/>
    <w:rsid w:val="00165611"/>
    <w:rsid w:val="00166984"/>
    <w:rsid w:val="0016780A"/>
    <w:rsid w:val="001713FA"/>
    <w:rsid w:val="00172CF7"/>
    <w:rsid w:val="00173EBF"/>
    <w:rsid w:val="00174CE1"/>
    <w:rsid w:val="00175359"/>
    <w:rsid w:val="00175ED3"/>
    <w:rsid w:val="001762E2"/>
    <w:rsid w:val="00176A29"/>
    <w:rsid w:val="00180D06"/>
    <w:rsid w:val="001821FF"/>
    <w:rsid w:val="0018233C"/>
    <w:rsid w:val="001823BB"/>
    <w:rsid w:val="00182EDB"/>
    <w:rsid w:val="00183E52"/>
    <w:rsid w:val="001842A2"/>
    <w:rsid w:val="00187FA8"/>
    <w:rsid w:val="00192F5E"/>
    <w:rsid w:val="00194A69"/>
    <w:rsid w:val="001972F1"/>
    <w:rsid w:val="00197772"/>
    <w:rsid w:val="001A51C8"/>
    <w:rsid w:val="001B07D6"/>
    <w:rsid w:val="001B1B3D"/>
    <w:rsid w:val="001B444D"/>
    <w:rsid w:val="001B4CA8"/>
    <w:rsid w:val="001B519B"/>
    <w:rsid w:val="001B5EA1"/>
    <w:rsid w:val="001B6DC1"/>
    <w:rsid w:val="001B759C"/>
    <w:rsid w:val="001C4F3D"/>
    <w:rsid w:val="001C6B8A"/>
    <w:rsid w:val="001C7A4D"/>
    <w:rsid w:val="001D0CDC"/>
    <w:rsid w:val="001D1C8D"/>
    <w:rsid w:val="001D1D82"/>
    <w:rsid w:val="001D7E10"/>
    <w:rsid w:val="001E1182"/>
    <w:rsid w:val="001E7BA3"/>
    <w:rsid w:val="0020089B"/>
    <w:rsid w:val="00202C90"/>
    <w:rsid w:val="00204214"/>
    <w:rsid w:val="00204463"/>
    <w:rsid w:val="00205318"/>
    <w:rsid w:val="002055F7"/>
    <w:rsid w:val="002063CB"/>
    <w:rsid w:val="00212D8C"/>
    <w:rsid w:val="00213DE8"/>
    <w:rsid w:val="00216118"/>
    <w:rsid w:val="00216150"/>
    <w:rsid w:val="002209AB"/>
    <w:rsid w:val="002251E3"/>
    <w:rsid w:val="00227A95"/>
    <w:rsid w:val="002316BD"/>
    <w:rsid w:val="002345EA"/>
    <w:rsid w:val="00234E10"/>
    <w:rsid w:val="00235256"/>
    <w:rsid w:val="00236883"/>
    <w:rsid w:val="00242817"/>
    <w:rsid w:val="0024286D"/>
    <w:rsid w:val="00243C01"/>
    <w:rsid w:val="002473FC"/>
    <w:rsid w:val="0025281F"/>
    <w:rsid w:val="00252E3C"/>
    <w:rsid w:val="0025590C"/>
    <w:rsid w:val="00255E31"/>
    <w:rsid w:val="00257BF4"/>
    <w:rsid w:val="00262198"/>
    <w:rsid w:val="00264334"/>
    <w:rsid w:val="00264BBC"/>
    <w:rsid w:val="002656E9"/>
    <w:rsid w:val="002668D2"/>
    <w:rsid w:val="00266E6B"/>
    <w:rsid w:val="0027335A"/>
    <w:rsid w:val="00275F8F"/>
    <w:rsid w:val="00276FAE"/>
    <w:rsid w:val="00280A50"/>
    <w:rsid w:val="00280D0C"/>
    <w:rsid w:val="00283569"/>
    <w:rsid w:val="00283778"/>
    <w:rsid w:val="00285F1B"/>
    <w:rsid w:val="002878EE"/>
    <w:rsid w:val="00287BE8"/>
    <w:rsid w:val="002923B1"/>
    <w:rsid w:val="00292B81"/>
    <w:rsid w:val="00296697"/>
    <w:rsid w:val="00297544"/>
    <w:rsid w:val="002A0814"/>
    <w:rsid w:val="002B18AE"/>
    <w:rsid w:val="002B2573"/>
    <w:rsid w:val="002B7502"/>
    <w:rsid w:val="002C1C93"/>
    <w:rsid w:val="002C5066"/>
    <w:rsid w:val="002C5785"/>
    <w:rsid w:val="002C5813"/>
    <w:rsid w:val="002D1070"/>
    <w:rsid w:val="002D10B2"/>
    <w:rsid w:val="002D1A3C"/>
    <w:rsid w:val="002D4AAC"/>
    <w:rsid w:val="002D5CDF"/>
    <w:rsid w:val="002D5EDF"/>
    <w:rsid w:val="002E5714"/>
    <w:rsid w:val="002E7124"/>
    <w:rsid w:val="002F045A"/>
    <w:rsid w:val="002F5E62"/>
    <w:rsid w:val="002F6339"/>
    <w:rsid w:val="002F7BC1"/>
    <w:rsid w:val="0030039D"/>
    <w:rsid w:val="0030326F"/>
    <w:rsid w:val="00304B19"/>
    <w:rsid w:val="003055FA"/>
    <w:rsid w:val="003072FF"/>
    <w:rsid w:val="00310701"/>
    <w:rsid w:val="00315980"/>
    <w:rsid w:val="00316F7F"/>
    <w:rsid w:val="00317B7C"/>
    <w:rsid w:val="003218E8"/>
    <w:rsid w:val="00321CF3"/>
    <w:rsid w:val="00323212"/>
    <w:rsid w:val="003243EC"/>
    <w:rsid w:val="00325E34"/>
    <w:rsid w:val="00330DCE"/>
    <w:rsid w:val="00331E11"/>
    <w:rsid w:val="00334761"/>
    <w:rsid w:val="00337EBC"/>
    <w:rsid w:val="00341711"/>
    <w:rsid w:val="00341DCD"/>
    <w:rsid w:val="00343CF7"/>
    <w:rsid w:val="00343E5A"/>
    <w:rsid w:val="003455B6"/>
    <w:rsid w:val="0034563E"/>
    <w:rsid w:val="003518D6"/>
    <w:rsid w:val="0035460C"/>
    <w:rsid w:val="003556BD"/>
    <w:rsid w:val="00365147"/>
    <w:rsid w:val="00366011"/>
    <w:rsid w:val="00366558"/>
    <w:rsid w:val="0037016E"/>
    <w:rsid w:val="00372908"/>
    <w:rsid w:val="00373889"/>
    <w:rsid w:val="00374CD1"/>
    <w:rsid w:val="00375B97"/>
    <w:rsid w:val="00377176"/>
    <w:rsid w:val="003803E4"/>
    <w:rsid w:val="00383020"/>
    <w:rsid w:val="00387E45"/>
    <w:rsid w:val="0039272C"/>
    <w:rsid w:val="00393CE4"/>
    <w:rsid w:val="00394D7E"/>
    <w:rsid w:val="00397433"/>
    <w:rsid w:val="003975FD"/>
    <w:rsid w:val="00397AB7"/>
    <w:rsid w:val="00397D60"/>
    <w:rsid w:val="003A48D6"/>
    <w:rsid w:val="003A52B9"/>
    <w:rsid w:val="003A5850"/>
    <w:rsid w:val="003B057D"/>
    <w:rsid w:val="003B08D2"/>
    <w:rsid w:val="003B09A0"/>
    <w:rsid w:val="003B2AD7"/>
    <w:rsid w:val="003B60CC"/>
    <w:rsid w:val="003C0073"/>
    <w:rsid w:val="003C0777"/>
    <w:rsid w:val="003C1B25"/>
    <w:rsid w:val="003C2443"/>
    <w:rsid w:val="003C4324"/>
    <w:rsid w:val="003C5912"/>
    <w:rsid w:val="003C5DA3"/>
    <w:rsid w:val="003D14E6"/>
    <w:rsid w:val="003D4570"/>
    <w:rsid w:val="003D45B6"/>
    <w:rsid w:val="003D4BCD"/>
    <w:rsid w:val="003D6268"/>
    <w:rsid w:val="003D6C2B"/>
    <w:rsid w:val="003D7E5C"/>
    <w:rsid w:val="003D7EBE"/>
    <w:rsid w:val="003E01D8"/>
    <w:rsid w:val="003E2100"/>
    <w:rsid w:val="003F55C5"/>
    <w:rsid w:val="003F6F5B"/>
    <w:rsid w:val="003F7CAF"/>
    <w:rsid w:val="0040342D"/>
    <w:rsid w:val="00403890"/>
    <w:rsid w:val="0041192D"/>
    <w:rsid w:val="00413EE1"/>
    <w:rsid w:val="00416689"/>
    <w:rsid w:val="004208A2"/>
    <w:rsid w:val="0042128E"/>
    <w:rsid w:val="004221DD"/>
    <w:rsid w:val="004229BD"/>
    <w:rsid w:val="00422DCF"/>
    <w:rsid w:val="00422FEC"/>
    <w:rsid w:val="00426EF0"/>
    <w:rsid w:val="00430365"/>
    <w:rsid w:val="004303D3"/>
    <w:rsid w:val="004321FD"/>
    <w:rsid w:val="00432B60"/>
    <w:rsid w:val="004363CA"/>
    <w:rsid w:val="00440569"/>
    <w:rsid w:val="00440698"/>
    <w:rsid w:val="00442EF9"/>
    <w:rsid w:val="00444C33"/>
    <w:rsid w:val="00447BF2"/>
    <w:rsid w:val="004540E2"/>
    <w:rsid w:val="00454454"/>
    <w:rsid w:val="00455D7E"/>
    <w:rsid w:val="004611A9"/>
    <w:rsid w:val="00467872"/>
    <w:rsid w:val="00467924"/>
    <w:rsid w:val="004712A5"/>
    <w:rsid w:val="0047266F"/>
    <w:rsid w:val="004768D8"/>
    <w:rsid w:val="00476D6B"/>
    <w:rsid w:val="00480139"/>
    <w:rsid w:val="004923E3"/>
    <w:rsid w:val="004927CB"/>
    <w:rsid w:val="00492C16"/>
    <w:rsid w:val="00492FA2"/>
    <w:rsid w:val="004947A9"/>
    <w:rsid w:val="00494959"/>
    <w:rsid w:val="004A0678"/>
    <w:rsid w:val="004A27F1"/>
    <w:rsid w:val="004A2C72"/>
    <w:rsid w:val="004A48A3"/>
    <w:rsid w:val="004A59EB"/>
    <w:rsid w:val="004B0D92"/>
    <w:rsid w:val="004B0EC0"/>
    <w:rsid w:val="004B66F1"/>
    <w:rsid w:val="004C08A9"/>
    <w:rsid w:val="004C0AFE"/>
    <w:rsid w:val="004C3EA0"/>
    <w:rsid w:val="004C4174"/>
    <w:rsid w:val="004D15F9"/>
    <w:rsid w:val="004D24BD"/>
    <w:rsid w:val="004D2F42"/>
    <w:rsid w:val="004D5B7B"/>
    <w:rsid w:val="004E09D9"/>
    <w:rsid w:val="004E12D1"/>
    <w:rsid w:val="004E4507"/>
    <w:rsid w:val="004E473C"/>
    <w:rsid w:val="004E5AEF"/>
    <w:rsid w:val="004E687B"/>
    <w:rsid w:val="004F374C"/>
    <w:rsid w:val="004F3B1C"/>
    <w:rsid w:val="004F7169"/>
    <w:rsid w:val="00500D66"/>
    <w:rsid w:val="00503A6E"/>
    <w:rsid w:val="00510118"/>
    <w:rsid w:val="005141F0"/>
    <w:rsid w:val="00514C8E"/>
    <w:rsid w:val="00515682"/>
    <w:rsid w:val="00517424"/>
    <w:rsid w:val="00520373"/>
    <w:rsid w:val="00531DBF"/>
    <w:rsid w:val="0053473A"/>
    <w:rsid w:val="00541597"/>
    <w:rsid w:val="005417D7"/>
    <w:rsid w:val="0054284C"/>
    <w:rsid w:val="00542C72"/>
    <w:rsid w:val="005445A5"/>
    <w:rsid w:val="00545759"/>
    <w:rsid w:val="0054579A"/>
    <w:rsid w:val="00545BE0"/>
    <w:rsid w:val="00546930"/>
    <w:rsid w:val="00554C6A"/>
    <w:rsid w:val="00560FD2"/>
    <w:rsid w:val="00562E85"/>
    <w:rsid w:val="0056332F"/>
    <w:rsid w:val="0056397A"/>
    <w:rsid w:val="00567894"/>
    <w:rsid w:val="005706CD"/>
    <w:rsid w:val="005719B3"/>
    <w:rsid w:val="00571CB9"/>
    <w:rsid w:val="00571F8C"/>
    <w:rsid w:val="0057295E"/>
    <w:rsid w:val="00575EB2"/>
    <w:rsid w:val="005763BB"/>
    <w:rsid w:val="00581C39"/>
    <w:rsid w:val="005903B6"/>
    <w:rsid w:val="00592AC4"/>
    <w:rsid w:val="005964B6"/>
    <w:rsid w:val="005A0247"/>
    <w:rsid w:val="005A126E"/>
    <w:rsid w:val="005A452F"/>
    <w:rsid w:val="005A58FB"/>
    <w:rsid w:val="005A7679"/>
    <w:rsid w:val="005B140D"/>
    <w:rsid w:val="005B4EB7"/>
    <w:rsid w:val="005B5D0E"/>
    <w:rsid w:val="005B6834"/>
    <w:rsid w:val="005C1FEA"/>
    <w:rsid w:val="005C3495"/>
    <w:rsid w:val="005C4884"/>
    <w:rsid w:val="005D0533"/>
    <w:rsid w:val="005D059D"/>
    <w:rsid w:val="005D14BE"/>
    <w:rsid w:val="005D4D94"/>
    <w:rsid w:val="005D51DA"/>
    <w:rsid w:val="005D6356"/>
    <w:rsid w:val="005D7E60"/>
    <w:rsid w:val="005E20F8"/>
    <w:rsid w:val="005E374E"/>
    <w:rsid w:val="005E3DFC"/>
    <w:rsid w:val="005E5942"/>
    <w:rsid w:val="005E60AF"/>
    <w:rsid w:val="005E6F82"/>
    <w:rsid w:val="005F1DEA"/>
    <w:rsid w:val="005F6241"/>
    <w:rsid w:val="005F7A0C"/>
    <w:rsid w:val="0060037D"/>
    <w:rsid w:val="0060079C"/>
    <w:rsid w:val="00601538"/>
    <w:rsid w:val="00605BF7"/>
    <w:rsid w:val="00605DA2"/>
    <w:rsid w:val="00606739"/>
    <w:rsid w:val="00607FC9"/>
    <w:rsid w:val="00610D0E"/>
    <w:rsid w:val="00622FE1"/>
    <w:rsid w:val="0062521C"/>
    <w:rsid w:val="00630A2B"/>
    <w:rsid w:val="00632DC7"/>
    <w:rsid w:val="006331BB"/>
    <w:rsid w:val="0063393A"/>
    <w:rsid w:val="006357FB"/>
    <w:rsid w:val="006364F4"/>
    <w:rsid w:val="00636CCB"/>
    <w:rsid w:val="00636CD3"/>
    <w:rsid w:val="006406FC"/>
    <w:rsid w:val="00640E57"/>
    <w:rsid w:val="00642678"/>
    <w:rsid w:val="00646122"/>
    <w:rsid w:val="0064625A"/>
    <w:rsid w:val="00650815"/>
    <w:rsid w:val="00650C73"/>
    <w:rsid w:val="00652D92"/>
    <w:rsid w:val="00653E16"/>
    <w:rsid w:val="0065646F"/>
    <w:rsid w:val="00657220"/>
    <w:rsid w:val="00657362"/>
    <w:rsid w:val="0066104B"/>
    <w:rsid w:val="006622FE"/>
    <w:rsid w:val="00662590"/>
    <w:rsid w:val="006629B3"/>
    <w:rsid w:val="00664235"/>
    <w:rsid w:val="00664C9B"/>
    <w:rsid w:val="006655EE"/>
    <w:rsid w:val="006657EB"/>
    <w:rsid w:val="006659DB"/>
    <w:rsid w:val="00666860"/>
    <w:rsid w:val="00667C10"/>
    <w:rsid w:val="00667DB3"/>
    <w:rsid w:val="00667EF4"/>
    <w:rsid w:val="00674FD7"/>
    <w:rsid w:val="00676FCA"/>
    <w:rsid w:val="00677177"/>
    <w:rsid w:val="0068056D"/>
    <w:rsid w:val="00683879"/>
    <w:rsid w:val="0068612E"/>
    <w:rsid w:val="00687C92"/>
    <w:rsid w:val="00692B47"/>
    <w:rsid w:val="0069534E"/>
    <w:rsid w:val="0069669C"/>
    <w:rsid w:val="00697922"/>
    <w:rsid w:val="006A1200"/>
    <w:rsid w:val="006A4798"/>
    <w:rsid w:val="006A4F4E"/>
    <w:rsid w:val="006A6C23"/>
    <w:rsid w:val="006A6D30"/>
    <w:rsid w:val="006B00AD"/>
    <w:rsid w:val="006B14DB"/>
    <w:rsid w:val="006B21C4"/>
    <w:rsid w:val="006B6FF4"/>
    <w:rsid w:val="006B7347"/>
    <w:rsid w:val="006B7CD0"/>
    <w:rsid w:val="006C1A30"/>
    <w:rsid w:val="006C4A1A"/>
    <w:rsid w:val="006C5CFF"/>
    <w:rsid w:val="006D0393"/>
    <w:rsid w:val="006D1A83"/>
    <w:rsid w:val="006D1BFB"/>
    <w:rsid w:val="006D69BD"/>
    <w:rsid w:val="006E1CFE"/>
    <w:rsid w:val="006F10C4"/>
    <w:rsid w:val="006F1266"/>
    <w:rsid w:val="006F40E9"/>
    <w:rsid w:val="006F5005"/>
    <w:rsid w:val="006F519D"/>
    <w:rsid w:val="006F5603"/>
    <w:rsid w:val="006F5A49"/>
    <w:rsid w:val="00701400"/>
    <w:rsid w:val="00702F8F"/>
    <w:rsid w:val="007037CF"/>
    <w:rsid w:val="00704D66"/>
    <w:rsid w:val="00705074"/>
    <w:rsid w:val="00711111"/>
    <w:rsid w:val="007118EE"/>
    <w:rsid w:val="007137A6"/>
    <w:rsid w:val="00713FCD"/>
    <w:rsid w:val="007167C0"/>
    <w:rsid w:val="00720481"/>
    <w:rsid w:val="00722792"/>
    <w:rsid w:val="00722F08"/>
    <w:rsid w:val="00723525"/>
    <w:rsid w:val="00723B02"/>
    <w:rsid w:val="0072784A"/>
    <w:rsid w:val="00727B8A"/>
    <w:rsid w:val="00732C75"/>
    <w:rsid w:val="00732EF0"/>
    <w:rsid w:val="00733193"/>
    <w:rsid w:val="00736D97"/>
    <w:rsid w:val="007414E3"/>
    <w:rsid w:val="00741517"/>
    <w:rsid w:val="007416C0"/>
    <w:rsid w:val="00742F5D"/>
    <w:rsid w:val="0074358A"/>
    <w:rsid w:val="00744DDA"/>
    <w:rsid w:val="00745E03"/>
    <w:rsid w:val="007479D1"/>
    <w:rsid w:val="007524B4"/>
    <w:rsid w:val="00752E46"/>
    <w:rsid w:val="0075732A"/>
    <w:rsid w:val="007576DA"/>
    <w:rsid w:val="00757F82"/>
    <w:rsid w:val="007600F8"/>
    <w:rsid w:val="00760262"/>
    <w:rsid w:val="007605AC"/>
    <w:rsid w:val="00761F5E"/>
    <w:rsid w:val="00762C1C"/>
    <w:rsid w:val="0076310C"/>
    <w:rsid w:val="0076744F"/>
    <w:rsid w:val="00767BCE"/>
    <w:rsid w:val="00767EFC"/>
    <w:rsid w:val="007707DE"/>
    <w:rsid w:val="00770B5D"/>
    <w:rsid w:val="00772BA6"/>
    <w:rsid w:val="007752F1"/>
    <w:rsid w:val="0077556E"/>
    <w:rsid w:val="00776179"/>
    <w:rsid w:val="0077633F"/>
    <w:rsid w:val="00776768"/>
    <w:rsid w:val="0078187A"/>
    <w:rsid w:val="00784363"/>
    <w:rsid w:val="007843D3"/>
    <w:rsid w:val="00786628"/>
    <w:rsid w:val="00791012"/>
    <w:rsid w:val="0079628B"/>
    <w:rsid w:val="00797F11"/>
    <w:rsid w:val="007A1F48"/>
    <w:rsid w:val="007A2573"/>
    <w:rsid w:val="007A3CBB"/>
    <w:rsid w:val="007B106C"/>
    <w:rsid w:val="007B1A4E"/>
    <w:rsid w:val="007B3D05"/>
    <w:rsid w:val="007B5503"/>
    <w:rsid w:val="007B7C2A"/>
    <w:rsid w:val="007C0A48"/>
    <w:rsid w:val="007C179C"/>
    <w:rsid w:val="007C340A"/>
    <w:rsid w:val="007C463B"/>
    <w:rsid w:val="007C5E14"/>
    <w:rsid w:val="007C6BB3"/>
    <w:rsid w:val="007C6CBD"/>
    <w:rsid w:val="007D14B4"/>
    <w:rsid w:val="007D1DC3"/>
    <w:rsid w:val="007D3AD7"/>
    <w:rsid w:val="007D4AE6"/>
    <w:rsid w:val="007D5508"/>
    <w:rsid w:val="007D559A"/>
    <w:rsid w:val="007E24F6"/>
    <w:rsid w:val="007E2FED"/>
    <w:rsid w:val="007F1C07"/>
    <w:rsid w:val="007F67DD"/>
    <w:rsid w:val="007F7981"/>
    <w:rsid w:val="00800F64"/>
    <w:rsid w:val="00801050"/>
    <w:rsid w:val="00802F0B"/>
    <w:rsid w:val="008036E6"/>
    <w:rsid w:val="00810A67"/>
    <w:rsid w:val="00812485"/>
    <w:rsid w:val="008140BF"/>
    <w:rsid w:val="008179F6"/>
    <w:rsid w:val="008221E6"/>
    <w:rsid w:val="00833CF7"/>
    <w:rsid w:val="00833E30"/>
    <w:rsid w:val="00834BC4"/>
    <w:rsid w:val="00834CDE"/>
    <w:rsid w:val="00842464"/>
    <w:rsid w:val="00845601"/>
    <w:rsid w:val="00847C88"/>
    <w:rsid w:val="00850353"/>
    <w:rsid w:val="0085318C"/>
    <w:rsid w:val="008538B4"/>
    <w:rsid w:val="00855C5C"/>
    <w:rsid w:val="00856FBA"/>
    <w:rsid w:val="00863EE1"/>
    <w:rsid w:val="00864EF8"/>
    <w:rsid w:val="00865E5F"/>
    <w:rsid w:val="00867139"/>
    <w:rsid w:val="0087196C"/>
    <w:rsid w:val="00871B35"/>
    <w:rsid w:val="00872ACD"/>
    <w:rsid w:val="00876254"/>
    <w:rsid w:val="00881537"/>
    <w:rsid w:val="008868A1"/>
    <w:rsid w:val="00890486"/>
    <w:rsid w:val="008943B7"/>
    <w:rsid w:val="00895739"/>
    <w:rsid w:val="008A140C"/>
    <w:rsid w:val="008A1E55"/>
    <w:rsid w:val="008A2E36"/>
    <w:rsid w:val="008A3C96"/>
    <w:rsid w:val="008A4A6F"/>
    <w:rsid w:val="008A60D9"/>
    <w:rsid w:val="008B2507"/>
    <w:rsid w:val="008B2FA5"/>
    <w:rsid w:val="008B4019"/>
    <w:rsid w:val="008B467E"/>
    <w:rsid w:val="008B6502"/>
    <w:rsid w:val="008B65C9"/>
    <w:rsid w:val="008C2520"/>
    <w:rsid w:val="008C2D4A"/>
    <w:rsid w:val="008C48B6"/>
    <w:rsid w:val="008C65E8"/>
    <w:rsid w:val="008D3900"/>
    <w:rsid w:val="008D3F6F"/>
    <w:rsid w:val="008D4E24"/>
    <w:rsid w:val="008D6E1D"/>
    <w:rsid w:val="008E2F4A"/>
    <w:rsid w:val="008F224A"/>
    <w:rsid w:val="008F3954"/>
    <w:rsid w:val="008F39B4"/>
    <w:rsid w:val="008F3D52"/>
    <w:rsid w:val="008F4162"/>
    <w:rsid w:val="00901C6B"/>
    <w:rsid w:val="00903E02"/>
    <w:rsid w:val="0090497C"/>
    <w:rsid w:val="00907FC2"/>
    <w:rsid w:val="0091079D"/>
    <w:rsid w:val="00913175"/>
    <w:rsid w:val="009162B7"/>
    <w:rsid w:val="00916EDB"/>
    <w:rsid w:val="00920861"/>
    <w:rsid w:val="00921E13"/>
    <w:rsid w:val="00922B13"/>
    <w:rsid w:val="009242EF"/>
    <w:rsid w:val="00932291"/>
    <w:rsid w:val="00932861"/>
    <w:rsid w:val="0093408E"/>
    <w:rsid w:val="0093544E"/>
    <w:rsid w:val="009410A1"/>
    <w:rsid w:val="00943B56"/>
    <w:rsid w:val="009470CF"/>
    <w:rsid w:val="00952DDF"/>
    <w:rsid w:val="00953F81"/>
    <w:rsid w:val="00961CD0"/>
    <w:rsid w:val="009622D0"/>
    <w:rsid w:val="009634B5"/>
    <w:rsid w:val="00963B6A"/>
    <w:rsid w:val="009640FD"/>
    <w:rsid w:val="00970950"/>
    <w:rsid w:val="0098023C"/>
    <w:rsid w:val="00980A60"/>
    <w:rsid w:val="009812D4"/>
    <w:rsid w:val="00982577"/>
    <w:rsid w:val="00985B0E"/>
    <w:rsid w:val="009920D8"/>
    <w:rsid w:val="00993150"/>
    <w:rsid w:val="00993771"/>
    <w:rsid w:val="00995241"/>
    <w:rsid w:val="0099570E"/>
    <w:rsid w:val="009A1DEC"/>
    <w:rsid w:val="009A359E"/>
    <w:rsid w:val="009A7F2C"/>
    <w:rsid w:val="009B38BE"/>
    <w:rsid w:val="009B45CC"/>
    <w:rsid w:val="009C0910"/>
    <w:rsid w:val="009C17DB"/>
    <w:rsid w:val="009C3189"/>
    <w:rsid w:val="009C3D0F"/>
    <w:rsid w:val="009C41DF"/>
    <w:rsid w:val="009C4B1B"/>
    <w:rsid w:val="009C7C84"/>
    <w:rsid w:val="009D0ECC"/>
    <w:rsid w:val="009D19E7"/>
    <w:rsid w:val="009D2478"/>
    <w:rsid w:val="009D3B37"/>
    <w:rsid w:val="009D5E5B"/>
    <w:rsid w:val="009D7F89"/>
    <w:rsid w:val="009E0A72"/>
    <w:rsid w:val="009E1B19"/>
    <w:rsid w:val="009E23F4"/>
    <w:rsid w:val="009E487F"/>
    <w:rsid w:val="009E7B3D"/>
    <w:rsid w:val="009E7B40"/>
    <w:rsid w:val="009F15E7"/>
    <w:rsid w:val="009F1DE6"/>
    <w:rsid w:val="009F320B"/>
    <w:rsid w:val="009F35E2"/>
    <w:rsid w:val="009F65F9"/>
    <w:rsid w:val="009F68BA"/>
    <w:rsid w:val="00A00669"/>
    <w:rsid w:val="00A00961"/>
    <w:rsid w:val="00A00C4A"/>
    <w:rsid w:val="00A02A33"/>
    <w:rsid w:val="00A06277"/>
    <w:rsid w:val="00A079DC"/>
    <w:rsid w:val="00A111C2"/>
    <w:rsid w:val="00A12C6C"/>
    <w:rsid w:val="00A16D26"/>
    <w:rsid w:val="00A17D5C"/>
    <w:rsid w:val="00A2267C"/>
    <w:rsid w:val="00A22F59"/>
    <w:rsid w:val="00A23037"/>
    <w:rsid w:val="00A338E7"/>
    <w:rsid w:val="00A35CAA"/>
    <w:rsid w:val="00A3686D"/>
    <w:rsid w:val="00A36E7F"/>
    <w:rsid w:val="00A41E65"/>
    <w:rsid w:val="00A42151"/>
    <w:rsid w:val="00A43944"/>
    <w:rsid w:val="00A43E0A"/>
    <w:rsid w:val="00A448A0"/>
    <w:rsid w:val="00A463F7"/>
    <w:rsid w:val="00A5228C"/>
    <w:rsid w:val="00A530C7"/>
    <w:rsid w:val="00A55F5B"/>
    <w:rsid w:val="00A5734C"/>
    <w:rsid w:val="00A60185"/>
    <w:rsid w:val="00A61341"/>
    <w:rsid w:val="00A61D45"/>
    <w:rsid w:val="00A625C4"/>
    <w:rsid w:val="00A63831"/>
    <w:rsid w:val="00A638A4"/>
    <w:rsid w:val="00A661EA"/>
    <w:rsid w:val="00A664B7"/>
    <w:rsid w:val="00A71477"/>
    <w:rsid w:val="00A751DC"/>
    <w:rsid w:val="00A830E5"/>
    <w:rsid w:val="00A838A3"/>
    <w:rsid w:val="00A8439E"/>
    <w:rsid w:val="00A87135"/>
    <w:rsid w:val="00A9093C"/>
    <w:rsid w:val="00A928C5"/>
    <w:rsid w:val="00A93280"/>
    <w:rsid w:val="00A943EB"/>
    <w:rsid w:val="00A951EA"/>
    <w:rsid w:val="00A979FD"/>
    <w:rsid w:val="00AA1121"/>
    <w:rsid w:val="00AA219E"/>
    <w:rsid w:val="00AA2426"/>
    <w:rsid w:val="00AA2548"/>
    <w:rsid w:val="00AA37EA"/>
    <w:rsid w:val="00AA58C4"/>
    <w:rsid w:val="00AB11C8"/>
    <w:rsid w:val="00AB2BA0"/>
    <w:rsid w:val="00AB55CA"/>
    <w:rsid w:val="00AB5D6A"/>
    <w:rsid w:val="00AB73DA"/>
    <w:rsid w:val="00AC08A8"/>
    <w:rsid w:val="00AD127E"/>
    <w:rsid w:val="00AD330A"/>
    <w:rsid w:val="00AD56C8"/>
    <w:rsid w:val="00AD58F2"/>
    <w:rsid w:val="00AD716F"/>
    <w:rsid w:val="00AE02C2"/>
    <w:rsid w:val="00AE1413"/>
    <w:rsid w:val="00AE1BCC"/>
    <w:rsid w:val="00AE3DFA"/>
    <w:rsid w:val="00AE5F47"/>
    <w:rsid w:val="00AF1FC5"/>
    <w:rsid w:val="00AF5ECD"/>
    <w:rsid w:val="00B046EB"/>
    <w:rsid w:val="00B0512A"/>
    <w:rsid w:val="00B0529F"/>
    <w:rsid w:val="00B05D7D"/>
    <w:rsid w:val="00B07C79"/>
    <w:rsid w:val="00B12CB2"/>
    <w:rsid w:val="00B1418B"/>
    <w:rsid w:val="00B142DC"/>
    <w:rsid w:val="00B21195"/>
    <w:rsid w:val="00B241B9"/>
    <w:rsid w:val="00B24B22"/>
    <w:rsid w:val="00B25310"/>
    <w:rsid w:val="00B26906"/>
    <w:rsid w:val="00B27AB9"/>
    <w:rsid w:val="00B30D52"/>
    <w:rsid w:val="00B32AE6"/>
    <w:rsid w:val="00B32F8F"/>
    <w:rsid w:val="00B34848"/>
    <w:rsid w:val="00B3542B"/>
    <w:rsid w:val="00B36E10"/>
    <w:rsid w:val="00B3740E"/>
    <w:rsid w:val="00B4255B"/>
    <w:rsid w:val="00B51561"/>
    <w:rsid w:val="00B519D8"/>
    <w:rsid w:val="00B54DE9"/>
    <w:rsid w:val="00B553EC"/>
    <w:rsid w:val="00B55E3F"/>
    <w:rsid w:val="00B569B3"/>
    <w:rsid w:val="00B5773F"/>
    <w:rsid w:val="00B626F8"/>
    <w:rsid w:val="00B62B66"/>
    <w:rsid w:val="00B67663"/>
    <w:rsid w:val="00B7185E"/>
    <w:rsid w:val="00B756B1"/>
    <w:rsid w:val="00B77ED9"/>
    <w:rsid w:val="00B80176"/>
    <w:rsid w:val="00B820B4"/>
    <w:rsid w:val="00B8634E"/>
    <w:rsid w:val="00B87CF2"/>
    <w:rsid w:val="00B9087E"/>
    <w:rsid w:val="00B92797"/>
    <w:rsid w:val="00B93DD0"/>
    <w:rsid w:val="00B957FD"/>
    <w:rsid w:val="00B97732"/>
    <w:rsid w:val="00BA1973"/>
    <w:rsid w:val="00BA5921"/>
    <w:rsid w:val="00BA65A8"/>
    <w:rsid w:val="00BA68C7"/>
    <w:rsid w:val="00BA69DA"/>
    <w:rsid w:val="00BA6D19"/>
    <w:rsid w:val="00BA7320"/>
    <w:rsid w:val="00BA7461"/>
    <w:rsid w:val="00BA7DA9"/>
    <w:rsid w:val="00BB5393"/>
    <w:rsid w:val="00BB6072"/>
    <w:rsid w:val="00BC4215"/>
    <w:rsid w:val="00BC53E2"/>
    <w:rsid w:val="00BC67D3"/>
    <w:rsid w:val="00BC700A"/>
    <w:rsid w:val="00BD1A6F"/>
    <w:rsid w:val="00BD242C"/>
    <w:rsid w:val="00BD660D"/>
    <w:rsid w:val="00BD7AFE"/>
    <w:rsid w:val="00BD7B82"/>
    <w:rsid w:val="00BE62F5"/>
    <w:rsid w:val="00BE692F"/>
    <w:rsid w:val="00BE6D3C"/>
    <w:rsid w:val="00BE7852"/>
    <w:rsid w:val="00BF1328"/>
    <w:rsid w:val="00BF262D"/>
    <w:rsid w:val="00BF2B9F"/>
    <w:rsid w:val="00BF3A04"/>
    <w:rsid w:val="00BF7CEE"/>
    <w:rsid w:val="00C00341"/>
    <w:rsid w:val="00C0085D"/>
    <w:rsid w:val="00C024F0"/>
    <w:rsid w:val="00C02DAD"/>
    <w:rsid w:val="00C03880"/>
    <w:rsid w:val="00C04152"/>
    <w:rsid w:val="00C05037"/>
    <w:rsid w:val="00C05FA7"/>
    <w:rsid w:val="00C10242"/>
    <w:rsid w:val="00C10B1D"/>
    <w:rsid w:val="00C1122B"/>
    <w:rsid w:val="00C125B7"/>
    <w:rsid w:val="00C131F1"/>
    <w:rsid w:val="00C135CF"/>
    <w:rsid w:val="00C15E8D"/>
    <w:rsid w:val="00C16FE9"/>
    <w:rsid w:val="00C213DD"/>
    <w:rsid w:val="00C245DB"/>
    <w:rsid w:val="00C25289"/>
    <w:rsid w:val="00C2683F"/>
    <w:rsid w:val="00C30172"/>
    <w:rsid w:val="00C3091B"/>
    <w:rsid w:val="00C3184D"/>
    <w:rsid w:val="00C32DF1"/>
    <w:rsid w:val="00C331EE"/>
    <w:rsid w:val="00C435EE"/>
    <w:rsid w:val="00C44DB8"/>
    <w:rsid w:val="00C470B2"/>
    <w:rsid w:val="00C4714E"/>
    <w:rsid w:val="00C51CCA"/>
    <w:rsid w:val="00C5504F"/>
    <w:rsid w:val="00C57B55"/>
    <w:rsid w:val="00C60840"/>
    <w:rsid w:val="00C60CDB"/>
    <w:rsid w:val="00C61B9F"/>
    <w:rsid w:val="00C63376"/>
    <w:rsid w:val="00C70202"/>
    <w:rsid w:val="00C706D5"/>
    <w:rsid w:val="00C73D51"/>
    <w:rsid w:val="00C74F97"/>
    <w:rsid w:val="00C770DE"/>
    <w:rsid w:val="00C8134E"/>
    <w:rsid w:val="00C8276E"/>
    <w:rsid w:val="00C842AC"/>
    <w:rsid w:val="00C84FC3"/>
    <w:rsid w:val="00C86106"/>
    <w:rsid w:val="00C879A9"/>
    <w:rsid w:val="00C96688"/>
    <w:rsid w:val="00CA0723"/>
    <w:rsid w:val="00CA7A5A"/>
    <w:rsid w:val="00CA7C9E"/>
    <w:rsid w:val="00CB1690"/>
    <w:rsid w:val="00CB17DE"/>
    <w:rsid w:val="00CB7F7A"/>
    <w:rsid w:val="00CC4365"/>
    <w:rsid w:val="00CD11B0"/>
    <w:rsid w:val="00CD23EC"/>
    <w:rsid w:val="00CD67B2"/>
    <w:rsid w:val="00CE059C"/>
    <w:rsid w:val="00CE71C2"/>
    <w:rsid w:val="00CE7872"/>
    <w:rsid w:val="00CF0160"/>
    <w:rsid w:val="00CF42D5"/>
    <w:rsid w:val="00CF4EDA"/>
    <w:rsid w:val="00D021CB"/>
    <w:rsid w:val="00D10F1A"/>
    <w:rsid w:val="00D115D2"/>
    <w:rsid w:val="00D11677"/>
    <w:rsid w:val="00D116F8"/>
    <w:rsid w:val="00D136D3"/>
    <w:rsid w:val="00D15056"/>
    <w:rsid w:val="00D17596"/>
    <w:rsid w:val="00D21803"/>
    <w:rsid w:val="00D22640"/>
    <w:rsid w:val="00D23D25"/>
    <w:rsid w:val="00D26D3A"/>
    <w:rsid w:val="00D2749C"/>
    <w:rsid w:val="00D30479"/>
    <w:rsid w:val="00D313C8"/>
    <w:rsid w:val="00D31AA5"/>
    <w:rsid w:val="00D32BB0"/>
    <w:rsid w:val="00D365B6"/>
    <w:rsid w:val="00D3765D"/>
    <w:rsid w:val="00D44DCC"/>
    <w:rsid w:val="00D45EE3"/>
    <w:rsid w:val="00D50618"/>
    <w:rsid w:val="00D509E9"/>
    <w:rsid w:val="00D51516"/>
    <w:rsid w:val="00D526F1"/>
    <w:rsid w:val="00D5295E"/>
    <w:rsid w:val="00D53B1C"/>
    <w:rsid w:val="00D54216"/>
    <w:rsid w:val="00D54B78"/>
    <w:rsid w:val="00D5527A"/>
    <w:rsid w:val="00D566D1"/>
    <w:rsid w:val="00D61A5F"/>
    <w:rsid w:val="00D631FB"/>
    <w:rsid w:val="00D64326"/>
    <w:rsid w:val="00D64471"/>
    <w:rsid w:val="00D66E0F"/>
    <w:rsid w:val="00D67007"/>
    <w:rsid w:val="00D678A2"/>
    <w:rsid w:val="00D70978"/>
    <w:rsid w:val="00D775D2"/>
    <w:rsid w:val="00D81645"/>
    <w:rsid w:val="00D81EF6"/>
    <w:rsid w:val="00D86947"/>
    <w:rsid w:val="00D869EB"/>
    <w:rsid w:val="00D86E48"/>
    <w:rsid w:val="00D9741D"/>
    <w:rsid w:val="00DA1AD8"/>
    <w:rsid w:val="00DA1B12"/>
    <w:rsid w:val="00DA54C9"/>
    <w:rsid w:val="00DA6739"/>
    <w:rsid w:val="00DA6CAE"/>
    <w:rsid w:val="00DB1338"/>
    <w:rsid w:val="00DB1A97"/>
    <w:rsid w:val="00DB1A9E"/>
    <w:rsid w:val="00DB31D6"/>
    <w:rsid w:val="00DB3814"/>
    <w:rsid w:val="00DB4005"/>
    <w:rsid w:val="00DB56DE"/>
    <w:rsid w:val="00DB57A6"/>
    <w:rsid w:val="00DB605D"/>
    <w:rsid w:val="00DB74A3"/>
    <w:rsid w:val="00DC30C5"/>
    <w:rsid w:val="00DC34EB"/>
    <w:rsid w:val="00DC380D"/>
    <w:rsid w:val="00DD3705"/>
    <w:rsid w:val="00DD54A5"/>
    <w:rsid w:val="00DD5A2B"/>
    <w:rsid w:val="00DD6C68"/>
    <w:rsid w:val="00DE320C"/>
    <w:rsid w:val="00DE6F58"/>
    <w:rsid w:val="00DE7550"/>
    <w:rsid w:val="00DF041F"/>
    <w:rsid w:val="00DF1E5B"/>
    <w:rsid w:val="00DF2275"/>
    <w:rsid w:val="00DF3F5E"/>
    <w:rsid w:val="00DF5653"/>
    <w:rsid w:val="00E012C9"/>
    <w:rsid w:val="00E0351C"/>
    <w:rsid w:val="00E0596E"/>
    <w:rsid w:val="00E06BBF"/>
    <w:rsid w:val="00E06F66"/>
    <w:rsid w:val="00E07659"/>
    <w:rsid w:val="00E10CAA"/>
    <w:rsid w:val="00E137E9"/>
    <w:rsid w:val="00E21435"/>
    <w:rsid w:val="00E2403C"/>
    <w:rsid w:val="00E2421C"/>
    <w:rsid w:val="00E2649D"/>
    <w:rsid w:val="00E30A9D"/>
    <w:rsid w:val="00E34244"/>
    <w:rsid w:val="00E356E5"/>
    <w:rsid w:val="00E3688B"/>
    <w:rsid w:val="00E36F81"/>
    <w:rsid w:val="00E372BC"/>
    <w:rsid w:val="00E4096A"/>
    <w:rsid w:val="00E45765"/>
    <w:rsid w:val="00E45C4F"/>
    <w:rsid w:val="00E46020"/>
    <w:rsid w:val="00E5098C"/>
    <w:rsid w:val="00E54DF2"/>
    <w:rsid w:val="00E60213"/>
    <w:rsid w:val="00E61D28"/>
    <w:rsid w:val="00E661B2"/>
    <w:rsid w:val="00E71D16"/>
    <w:rsid w:val="00E7235E"/>
    <w:rsid w:val="00E72D50"/>
    <w:rsid w:val="00E731A8"/>
    <w:rsid w:val="00E74D29"/>
    <w:rsid w:val="00E76B78"/>
    <w:rsid w:val="00E8029E"/>
    <w:rsid w:val="00E816C4"/>
    <w:rsid w:val="00E83111"/>
    <w:rsid w:val="00E83C74"/>
    <w:rsid w:val="00E83CEE"/>
    <w:rsid w:val="00E87803"/>
    <w:rsid w:val="00E90644"/>
    <w:rsid w:val="00E91F18"/>
    <w:rsid w:val="00E9226D"/>
    <w:rsid w:val="00E928CD"/>
    <w:rsid w:val="00E96C70"/>
    <w:rsid w:val="00EA3874"/>
    <w:rsid w:val="00EA416C"/>
    <w:rsid w:val="00EA4DFB"/>
    <w:rsid w:val="00EA5311"/>
    <w:rsid w:val="00EA5941"/>
    <w:rsid w:val="00EA7A39"/>
    <w:rsid w:val="00EB1793"/>
    <w:rsid w:val="00EB60CE"/>
    <w:rsid w:val="00EB6EB3"/>
    <w:rsid w:val="00EB7BBB"/>
    <w:rsid w:val="00EB7D53"/>
    <w:rsid w:val="00EC5176"/>
    <w:rsid w:val="00EC61C3"/>
    <w:rsid w:val="00ED00C2"/>
    <w:rsid w:val="00ED04DD"/>
    <w:rsid w:val="00ED0970"/>
    <w:rsid w:val="00ED2544"/>
    <w:rsid w:val="00ED269D"/>
    <w:rsid w:val="00ED7F14"/>
    <w:rsid w:val="00EE1EC0"/>
    <w:rsid w:val="00EE2DE1"/>
    <w:rsid w:val="00EE2FA9"/>
    <w:rsid w:val="00EE3146"/>
    <w:rsid w:val="00EE36D6"/>
    <w:rsid w:val="00EE602E"/>
    <w:rsid w:val="00EF3F51"/>
    <w:rsid w:val="00EF50BB"/>
    <w:rsid w:val="00EF53FF"/>
    <w:rsid w:val="00F00192"/>
    <w:rsid w:val="00F00471"/>
    <w:rsid w:val="00F01DF6"/>
    <w:rsid w:val="00F025E5"/>
    <w:rsid w:val="00F0340D"/>
    <w:rsid w:val="00F036DF"/>
    <w:rsid w:val="00F059A6"/>
    <w:rsid w:val="00F10A3C"/>
    <w:rsid w:val="00F14062"/>
    <w:rsid w:val="00F2354E"/>
    <w:rsid w:val="00F23756"/>
    <w:rsid w:val="00F23FDD"/>
    <w:rsid w:val="00F2523A"/>
    <w:rsid w:val="00F25FFA"/>
    <w:rsid w:val="00F310D2"/>
    <w:rsid w:val="00F3421E"/>
    <w:rsid w:val="00F342A8"/>
    <w:rsid w:val="00F3492B"/>
    <w:rsid w:val="00F34F54"/>
    <w:rsid w:val="00F36F3D"/>
    <w:rsid w:val="00F42A3F"/>
    <w:rsid w:val="00F43D80"/>
    <w:rsid w:val="00F470D9"/>
    <w:rsid w:val="00F477BD"/>
    <w:rsid w:val="00F5045E"/>
    <w:rsid w:val="00F53491"/>
    <w:rsid w:val="00F6218B"/>
    <w:rsid w:val="00F65A1C"/>
    <w:rsid w:val="00F66F50"/>
    <w:rsid w:val="00F71086"/>
    <w:rsid w:val="00F757CC"/>
    <w:rsid w:val="00F81515"/>
    <w:rsid w:val="00F818BB"/>
    <w:rsid w:val="00F81BDB"/>
    <w:rsid w:val="00F8291C"/>
    <w:rsid w:val="00F82FF8"/>
    <w:rsid w:val="00F8330D"/>
    <w:rsid w:val="00F84305"/>
    <w:rsid w:val="00F8485C"/>
    <w:rsid w:val="00F86264"/>
    <w:rsid w:val="00F87149"/>
    <w:rsid w:val="00F87FFE"/>
    <w:rsid w:val="00F918C7"/>
    <w:rsid w:val="00F92BD5"/>
    <w:rsid w:val="00F93521"/>
    <w:rsid w:val="00F93D0D"/>
    <w:rsid w:val="00F94BB5"/>
    <w:rsid w:val="00F954C9"/>
    <w:rsid w:val="00F958CD"/>
    <w:rsid w:val="00FA4CF0"/>
    <w:rsid w:val="00FA61AA"/>
    <w:rsid w:val="00FA69A4"/>
    <w:rsid w:val="00FB1279"/>
    <w:rsid w:val="00FB1495"/>
    <w:rsid w:val="00FB380B"/>
    <w:rsid w:val="00FB5FC2"/>
    <w:rsid w:val="00FB6879"/>
    <w:rsid w:val="00FC00C3"/>
    <w:rsid w:val="00FC0D29"/>
    <w:rsid w:val="00FC312D"/>
    <w:rsid w:val="00FC3EFD"/>
    <w:rsid w:val="00FC708C"/>
    <w:rsid w:val="00FD1694"/>
    <w:rsid w:val="00FD2358"/>
    <w:rsid w:val="00FD324E"/>
    <w:rsid w:val="00FD3922"/>
    <w:rsid w:val="00FD42A8"/>
    <w:rsid w:val="00FD7636"/>
    <w:rsid w:val="00FD7C74"/>
    <w:rsid w:val="00FE2F4F"/>
    <w:rsid w:val="00FE3229"/>
    <w:rsid w:val="00FE4893"/>
    <w:rsid w:val="00FE74C3"/>
    <w:rsid w:val="00FF0784"/>
    <w:rsid w:val="00FF215C"/>
    <w:rsid w:val="00FF49E8"/>
    <w:rsid w:val="00FF672F"/>
    <w:rsid w:val="00FF7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259D3"/>
  <w15:docId w15:val="{00FAF973-AFC4-4525-B351-D0C7F74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BC"/>
    <w:pPr>
      <w:spacing w:after="200" w:line="276" w:lineRule="auto"/>
    </w:pPr>
    <w:rPr>
      <w:rFonts w:ascii="Calibri" w:hAnsi="Calibri"/>
      <w:sz w:val="22"/>
      <w:szCs w:val="22"/>
      <w:lang w:val="en-AU"/>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link w:val="Heading1"/>
    <w:uiPriority w:val="9"/>
    <w:rsid w:val="00C51CCA"/>
    <w:rPr>
      <w:rFonts w:cs="Arial"/>
      <w:b/>
      <w:caps/>
      <w:sz w:val="22"/>
      <w:szCs w:val="22"/>
      <w:lang w:eastAsia="en-US"/>
    </w:rPr>
  </w:style>
  <w:style w:type="character" w:customStyle="1" w:styleId="Heading2Char">
    <w:name w:val="Heading 2 Char"/>
    <w:link w:val="Heading2"/>
    <w:uiPriority w:val="9"/>
    <w:rsid w:val="000E31C1"/>
    <w:rPr>
      <w:rFonts w:cs="Arial"/>
      <w:b/>
      <w:sz w:val="22"/>
      <w:szCs w:val="22"/>
      <w:lang w:eastAsia="en-US"/>
    </w:rPr>
  </w:style>
  <w:style w:type="character" w:customStyle="1" w:styleId="Heading3Char">
    <w:name w:val="Heading 3 Char"/>
    <w:link w:val="Heading3"/>
    <w:uiPriority w:val="9"/>
    <w:rsid w:val="000E31C1"/>
    <w:rPr>
      <w:rFonts w:cs="Arial"/>
      <w:b/>
      <w:i/>
      <w:sz w:val="22"/>
      <w:szCs w:val="22"/>
      <w:lang w:eastAsia="en-US"/>
    </w:rPr>
  </w:style>
  <w:style w:type="character" w:customStyle="1" w:styleId="Heading4Char">
    <w:name w:val="Heading 4 Char"/>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39"/>
      </w:numPr>
    </w:pPr>
  </w:style>
  <w:style w:type="character" w:styleId="BookTitle">
    <w:name w:val="Book Title"/>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pPr>
      <w:rPr>
        <w:rFonts w:ascii="Arial" w:hAnsi="Arial"/>
        <w:sz w:val="20"/>
      </w:rPr>
    </w:tblStylePr>
    <w:tblStylePr w:type="band2Horz">
      <w:pPr>
        <w:wordWrap/>
        <w:spacing w:beforeLines="0" w:beforeAutospacing="0" w:afterLines="0" w:afterAutospacing="0"/>
        <w:contextualSpacing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CommentReference">
    <w:name w:val="annotation reference"/>
    <w:uiPriority w:val="99"/>
    <w:semiHidden/>
    <w:unhideWhenUsed/>
    <w:rsid w:val="00264BBC"/>
    <w:rPr>
      <w:sz w:val="16"/>
      <w:szCs w:val="16"/>
    </w:rPr>
  </w:style>
  <w:style w:type="paragraph" w:styleId="CommentText">
    <w:name w:val="annotation text"/>
    <w:basedOn w:val="Normal"/>
    <w:link w:val="CommentTextChar"/>
    <w:uiPriority w:val="99"/>
    <w:unhideWhenUsed/>
    <w:rsid w:val="00264BBC"/>
    <w:pPr>
      <w:spacing w:line="240" w:lineRule="auto"/>
    </w:pPr>
    <w:rPr>
      <w:sz w:val="20"/>
      <w:szCs w:val="20"/>
    </w:rPr>
  </w:style>
  <w:style w:type="character" w:customStyle="1" w:styleId="CommentTextChar">
    <w:name w:val="Comment Text Char"/>
    <w:link w:val="CommentText"/>
    <w:uiPriority w:val="99"/>
    <w:rsid w:val="00264BBC"/>
    <w:rPr>
      <w:rFonts w:ascii="Calibri" w:eastAsia="Calibri" w:hAnsi="Calibri" w:cs="Times New Roman"/>
      <w:lang w:eastAsia="en-US"/>
    </w:rPr>
  </w:style>
  <w:style w:type="paragraph" w:styleId="Title">
    <w:name w:val="Title"/>
    <w:basedOn w:val="Normal"/>
    <w:next w:val="Normal"/>
    <w:link w:val="TitleChar"/>
    <w:uiPriority w:val="10"/>
    <w:qFormat/>
    <w:rsid w:val="00264BB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64BBC"/>
    <w:rPr>
      <w:rFonts w:ascii="Cambria" w:eastAsia="Times New Roman" w:hAnsi="Cambria" w:cs="Times New Roman"/>
      <w:color w:val="17365D"/>
      <w:spacing w:val="5"/>
      <w:kern w:val="28"/>
      <w:sz w:val="52"/>
      <w:szCs w:val="52"/>
      <w:lang w:eastAsia="en-US"/>
    </w:rPr>
  </w:style>
  <w:style w:type="character" w:styleId="Hyperlink">
    <w:name w:val="Hyperlink"/>
    <w:uiPriority w:val="99"/>
    <w:unhideWhenUsed/>
    <w:rsid w:val="00264BBC"/>
    <w:rPr>
      <w:color w:val="0000FF"/>
      <w:u w:val="single"/>
    </w:rPr>
  </w:style>
  <w:style w:type="paragraph" w:styleId="CommentSubject">
    <w:name w:val="annotation subject"/>
    <w:basedOn w:val="CommentText"/>
    <w:next w:val="CommentText"/>
    <w:link w:val="CommentSubjectChar"/>
    <w:uiPriority w:val="99"/>
    <w:semiHidden/>
    <w:unhideWhenUsed/>
    <w:rsid w:val="00560FD2"/>
    <w:rPr>
      <w:b/>
      <w:bCs/>
    </w:rPr>
  </w:style>
  <w:style w:type="character" w:customStyle="1" w:styleId="CommentSubjectChar">
    <w:name w:val="Comment Subject Char"/>
    <w:link w:val="CommentSubject"/>
    <w:uiPriority w:val="99"/>
    <w:semiHidden/>
    <w:rsid w:val="00560FD2"/>
    <w:rPr>
      <w:rFonts w:ascii="Calibri" w:eastAsia="Calibri" w:hAnsi="Calibri" w:cs="Times New Roman"/>
      <w:b/>
      <w:bCs/>
      <w:lang w:eastAsia="en-US"/>
    </w:rPr>
  </w:style>
  <w:style w:type="paragraph" w:styleId="NormalWeb">
    <w:name w:val="Normal (Web)"/>
    <w:basedOn w:val="Normal"/>
    <w:uiPriority w:val="99"/>
    <w:semiHidden/>
    <w:unhideWhenUsed/>
    <w:rsid w:val="00C86106"/>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C86106"/>
    <w:rPr>
      <w:b/>
      <w:bCs/>
    </w:rPr>
  </w:style>
  <w:style w:type="paragraph" w:styleId="FootnoteText">
    <w:name w:val="footnote text"/>
    <w:basedOn w:val="Normal"/>
    <w:link w:val="FootnoteTextChar"/>
    <w:uiPriority w:val="99"/>
    <w:semiHidden/>
    <w:unhideWhenUsed/>
    <w:rsid w:val="009D0ECC"/>
    <w:pPr>
      <w:spacing w:after="0" w:line="240" w:lineRule="auto"/>
    </w:pPr>
    <w:rPr>
      <w:sz w:val="20"/>
      <w:szCs w:val="20"/>
    </w:rPr>
  </w:style>
  <w:style w:type="character" w:customStyle="1" w:styleId="FootnoteTextChar">
    <w:name w:val="Footnote Text Char"/>
    <w:link w:val="FootnoteText"/>
    <w:uiPriority w:val="99"/>
    <w:semiHidden/>
    <w:rsid w:val="009D0ECC"/>
    <w:rPr>
      <w:rFonts w:ascii="Calibri" w:eastAsia="Calibri" w:hAnsi="Calibri" w:cs="Times New Roman"/>
      <w:lang w:eastAsia="en-US"/>
    </w:rPr>
  </w:style>
  <w:style w:type="character" w:styleId="FootnoteReference">
    <w:name w:val="footnote reference"/>
    <w:uiPriority w:val="99"/>
    <w:semiHidden/>
    <w:unhideWhenUsed/>
    <w:rsid w:val="009D0ECC"/>
    <w:rPr>
      <w:vertAlign w:val="superscript"/>
    </w:rPr>
  </w:style>
  <w:style w:type="paragraph" w:customStyle="1" w:styleId="Default">
    <w:name w:val="Default"/>
    <w:rsid w:val="00D67007"/>
    <w:pPr>
      <w:autoSpaceDE w:val="0"/>
      <w:autoSpaceDN w:val="0"/>
      <w:adjustRightInd w:val="0"/>
    </w:pPr>
    <w:rPr>
      <w:rFonts w:ascii="Calibri" w:hAnsi="Calibri" w:cs="Calibri"/>
      <w:color w:val="000000"/>
      <w:sz w:val="24"/>
      <w:szCs w:val="24"/>
      <w:lang w:val="en-AU" w:eastAsia="en-AU"/>
    </w:rPr>
  </w:style>
  <w:style w:type="character" w:styleId="PlaceholderText">
    <w:name w:val="Placeholder Text"/>
    <w:uiPriority w:val="99"/>
    <w:semiHidden/>
    <w:rsid w:val="00D67007"/>
    <w:rPr>
      <w:color w:val="808080"/>
    </w:rPr>
  </w:style>
  <w:style w:type="paragraph" w:styleId="Revision">
    <w:name w:val="Revision"/>
    <w:hidden/>
    <w:uiPriority w:val="99"/>
    <w:semiHidden/>
    <w:rsid w:val="00D67007"/>
    <w:rPr>
      <w:sz w:val="22"/>
      <w:szCs w:val="22"/>
      <w:lang w:val="en-AU"/>
    </w:rPr>
  </w:style>
  <w:style w:type="character" w:styleId="LineNumber">
    <w:name w:val="line number"/>
    <w:basedOn w:val="DefaultParagraphFont"/>
    <w:uiPriority w:val="99"/>
    <w:semiHidden/>
    <w:unhideWhenUsed/>
    <w:rsid w:val="00124E2D"/>
  </w:style>
  <w:style w:type="paragraph" w:styleId="Bibliography">
    <w:name w:val="Bibliography"/>
    <w:basedOn w:val="Normal"/>
    <w:next w:val="Normal"/>
    <w:uiPriority w:val="37"/>
    <w:unhideWhenUsed/>
    <w:rsid w:val="00204214"/>
    <w:pPr>
      <w:spacing w:after="240" w:line="240" w:lineRule="auto"/>
      <w:ind w:left="720" w:hanging="720"/>
    </w:pPr>
  </w:style>
  <w:style w:type="character" w:customStyle="1" w:styleId="personname3">
    <w:name w:val="person_name3"/>
    <w:basedOn w:val="DefaultParagraphFont"/>
    <w:rsid w:val="00E71D16"/>
  </w:style>
  <w:style w:type="character" w:styleId="Emphasis">
    <w:name w:val="Emphasis"/>
    <w:basedOn w:val="DefaultParagraphFont"/>
    <w:uiPriority w:val="20"/>
    <w:qFormat/>
    <w:rsid w:val="00E71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6444">
      <w:bodyDiv w:val="1"/>
      <w:marLeft w:val="0"/>
      <w:marRight w:val="0"/>
      <w:marTop w:val="0"/>
      <w:marBottom w:val="0"/>
      <w:divBdr>
        <w:top w:val="none" w:sz="0" w:space="0" w:color="auto"/>
        <w:left w:val="none" w:sz="0" w:space="0" w:color="auto"/>
        <w:bottom w:val="none" w:sz="0" w:space="0" w:color="auto"/>
        <w:right w:val="none" w:sz="0" w:space="0" w:color="auto"/>
      </w:divBdr>
    </w:div>
    <w:div w:id="555236620">
      <w:bodyDiv w:val="1"/>
      <w:marLeft w:val="0"/>
      <w:marRight w:val="0"/>
      <w:marTop w:val="0"/>
      <w:marBottom w:val="0"/>
      <w:divBdr>
        <w:top w:val="none" w:sz="0" w:space="0" w:color="auto"/>
        <w:left w:val="none" w:sz="0" w:space="0" w:color="auto"/>
        <w:bottom w:val="none" w:sz="0" w:space="0" w:color="auto"/>
        <w:right w:val="none" w:sz="0" w:space="0" w:color="auto"/>
      </w:divBdr>
    </w:div>
    <w:div w:id="557128467">
      <w:bodyDiv w:val="1"/>
      <w:marLeft w:val="0"/>
      <w:marRight w:val="0"/>
      <w:marTop w:val="0"/>
      <w:marBottom w:val="0"/>
      <w:divBdr>
        <w:top w:val="none" w:sz="0" w:space="0" w:color="auto"/>
        <w:left w:val="none" w:sz="0" w:space="0" w:color="auto"/>
        <w:bottom w:val="none" w:sz="0" w:space="0" w:color="auto"/>
        <w:right w:val="none" w:sz="0" w:space="0" w:color="auto"/>
      </w:divBdr>
    </w:div>
    <w:div w:id="574245117">
      <w:bodyDiv w:val="1"/>
      <w:marLeft w:val="0"/>
      <w:marRight w:val="0"/>
      <w:marTop w:val="0"/>
      <w:marBottom w:val="0"/>
      <w:divBdr>
        <w:top w:val="none" w:sz="0" w:space="0" w:color="auto"/>
        <w:left w:val="none" w:sz="0" w:space="0" w:color="auto"/>
        <w:bottom w:val="none" w:sz="0" w:space="0" w:color="auto"/>
        <w:right w:val="none" w:sz="0" w:space="0" w:color="auto"/>
      </w:divBdr>
    </w:div>
    <w:div w:id="753669761">
      <w:bodyDiv w:val="1"/>
      <w:marLeft w:val="0"/>
      <w:marRight w:val="0"/>
      <w:marTop w:val="0"/>
      <w:marBottom w:val="0"/>
      <w:divBdr>
        <w:top w:val="none" w:sz="0" w:space="0" w:color="auto"/>
        <w:left w:val="none" w:sz="0" w:space="0" w:color="auto"/>
        <w:bottom w:val="none" w:sz="0" w:space="0" w:color="auto"/>
        <w:right w:val="none" w:sz="0" w:space="0" w:color="auto"/>
      </w:divBdr>
      <w:divsChild>
        <w:div w:id="1466046547">
          <w:marLeft w:val="0"/>
          <w:marRight w:val="0"/>
          <w:marTop w:val="0"/>
          <w:marBottom w:val="0"/>
          <w:divBdr>
            <w:top w:val="none" w:sz="0" w:space="0" w:color="auto"/>
            <w:left w:val="none" w:sz="0" w:space="0" w:color="auto"/>
            <w:bottom w:val="none" w:sz="0" w:space="0" w:color="auto"/>
            <w:right w:val="none" w:sz="0" w:space="0" w:color="auto"/>
          </w:divBdr>
          <w:divsChild>
            <w:div w:id="6997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786">
      <w:bodyDiv w:val="1"/>
      <w:marLeft w:val="0"/>
      <w:marRight w:val="0"/>
      <w:marTop w:val="0"/>
      <w:marBottom w:val="0"/>
      <w:divBdr>
        <w:top w:val="none" w:sz="0" w:space="0" w:color="auto"/>
        <w:left w:val="none" w:sz="0" w:space="0" w:color="auto"/>
        <w:bottom w:val="none" w:sz="0" w:space="0" w:color="auto"/>
        <w:right w:val="none" w:sz="0" w:space="0" w:color="auto"/>
      </w:divBdr>
      <w:divsChild>
        <w:div w:id="2077513191">
          <w:marLeft w:val="0"/>
          <w:marRight w:val="0"/>
          <w:marTop w:val="0"/>
          <w:marBottom w:val="0"/>
          <w:divBdr>
            <w:top w:val="none" w:sz="0" w:space="0" w:color="auto"/>
            <w:left w:val="none" w:sz="0" w:space="0" w:color="auto"/>
            <w:bottom w:val="none" w:sz="0" w:space="0" w:color="auto"/>
            <w:right w:val="none" w:sz="0" w:space="0" w:color="auto"/>
          </w:divBdr>
          <w:divsChild>
            <w:div w:id="3062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351">
      <w:bodyDiv w:val="1"/>
      <w:marLeft w:val="0"/>
      <w:marRight w:val="0"/>
      <w:marTop w:val="0"/>
      <w:marBottom w:val="0"/>
      <w:divBdr>
        <w:top w:val="none" w:sz="0" w:space="0" w:color="auto"/>
        <w:left w:val="none" w:sz="0" w:space="0" w:color="auto"/>
        <w:bottom w:val="none" w:sz="0" w:space="0" w:color="auto"/>
        <w:right w:val="none" w:sz="0" w:space="0" w:color="auto"/>
      </w:divBdr>
      <w:divsChild>
        <w:div w:id="512114558">
          <w:marLeft w:val="0"/>
          <w:marRight w:val="0"/>
          <w:marTop w:val="0"/>
          <w:marBottom w:val="0"/>
          <w:divBdr>
            <w:top w:val="none" w:sz="0" w:space="0" w:color="auto"/>
            <w:left w:val="none" w:sz="0" w:space="0" w:color="auto"/>
            <w:bottom w:val="none" w:sz="0" w:space="0" w:color="auto"/>
            <w:right w:val="none" w:sz="0" w:space="0" w:color="auto"/>
          </w:divBdr>
        </w:div>
      </w:divsChild>
    </w:div>
    <w:div w:id="19094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partmental_x0020_Keywords xmlns="94e070df-f2d7-4164-8c33-edbc83da752d" xsi:nil="true"/>
    <Keywords1 xmlns="d3d3a9f2-d6b9-4ac6-938b-c1d69a4702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FDE829610E747A8B1C44A08AE0B0B" ma:contentTypeVersion="0" ma:contentTypeDescription="Create a new document." ma:contentTypeScope="" ma:versionID="c7c617b1882f84e75610d9da663beecf">
  <xsd:schema xmlns:xsd="http://www.w3.org/2001/XMLSchema" xmlns:p="http://schemas.microsoft.com/office/2006/metadata/properties" xmlns:ns2="94e070df-f2d7-4164-8c33-edbc83da752d" xmlns:ns3="d3d3a9f2-d6b9-4ac6-938b-c1d69a470220" targetNamespace="http://schemas.microsoft.com/office/2006/metadata/properties" ma:root="true" ma:fieldsID="69176c769530bb380d2d457a3163e4cc" ns2:_="" ns3:_="">
    <xsd:import namespace="94e070df-f2d7-4164-8c33-edbc83da752d"/>
    <xsd:import namespace="d3d3a9f2-d6b9-4ac6-938b-c1d69a470220"/>
    <xsd:element name="properties">
      <xsd:complexType>
        <xsd:sequence>
          <xsd:element name="documentManagement">
            <xsd:complexType>
              <xsd:all>
                <xsd:element ref="ns2:Departmental_x0020_Keywords" minOccurs="0"/>
                <xsd:element ref="ns3:Keywords1" minOccurs="0"/>
              </xsd:all>
            </xsd:complexType>
          </xsd:element>
        </xsd:sequence>
      </xsd:complexType>
    </xsd:element>
  </xsd:schema>
  <xsd:schema xmlns:xsd="http://www.w3.org/2001/XMLSchema" xmlns:dms="http://schemas.microsoft.com/office/2006/documentManagement/types" targetNamespace="94e070df-f2d7-4164-8c33-edbc83da752d" elementFormDefault="qualified">
    <xsd:import namespace="http://schemas.microsoft.com/office/2006/documentManagement/types"/>
    <xsd:element name="Departmental_x0020_Keywords" ma:index="8" nillable="true" ma:displayName="Departmental Keywords" ma:internalName="Departmental_x0020_Keywords">
      <xsd:simpleType>
        <xsd:restriction base="dms:Text">
          <xsd:maxLength value="255"/>
        </xsd:restriction>
      </xsd:simpleType>
    </xsd:element>
  </xsd:schema>
  <xsd:schema xmlns:xsd="http://www.w3.org/2001/XMLSchema" xmlns:dms="http://schemas.microsoft.com/office/2006/documentManagement/types" targetNamespace="d3d3a9f2-d6b9-4ac6-938b-c1d69a470220" elementFormDefault="qualified">
    <xsd:import namespace="http://schemas.microsoft.com/office/2006/documentManagement/types"/>
    <xsd:element name="Keywords1" ma:index="9" nillable="true" ma:displayName="Category keywords" ma:default="" ma:internalName="Keywords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DB7-147D-407B-B034-A63C38F3EB9D}">
  <ds:schemaRefs>
    <ds:schemaRef ds:uri="http://schemas.microsoft.com/office/2006/metadata/properties"/>
    <ds:schemaRef ds:uri="94e070df-f2d7-4164-8c33-edbc83da752d"/>
    <ds:schemaRef ds:uri="d3d3a9f2-d6b9-4ac6-938b-c1d69a470220"/>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48437329-3F03-4EAB-B2B3-CF56009A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0df-f2d7-4164-8c33-edbc83da752d"/>
    <ds:schemaRef ds:uri="d3d3a9f2-d6b9-4ac6-938b-c1d69a470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010D59-23B6-4EB6-82B2-B84B2FEB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Blank document</vt:lpstr>
    </vt:vector>
  </TitlesOfParts>
  <Company>DEWHA</Company>
  <LinksUpToDate>false</LinksUpToDate>
  <CharactersWithSpaces>9211</CharactersWithSpaces>
  <SharedDoc>false</SharedDoc>
  <HLinks>
    <vt:vector size="6" baseType="variant">
      <vt:variant>
        <vt:i4>2621468</vt:i4>
      </vt:variant>
      <vt:variant>
        <vt:i4>0</vt:i4>
      </vt:variant>
      <vt:variant>
        <vt:i4>0</vt:i4>
      </vt:variant>
      <vt:variant>
        <vt:i4>5</vt:i4>
      </vt:variant>
      <vt:variant>
        <vt:lpwstr>mailto:Kat.Miller@environment.gov.au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Kat Miller</dc:creator>
  <cp:lastModifiedBy>Gill Wilson</cp:lastModifiedBy>
  <cp:revision>5</cp:revision>
  <cp:lastPrinted>2014-01-21T20:28:00Z</cp:lastPrinted>
  <dcterms:created xsi:type="dcterms:W3CDTF">2014-11-28T14:48:00Z</dcterms:created>
  <dcterms:modified xsi:type="dcterms:W3CDTF">2014-11-28T15:18:00Z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id="rNG0x1pp"/&gt;&lt;style id="http://www.zotero.org/styles/environmental-conservation" hasBibliography="1" bibliographyStyleHasBeenSet="1"/&gt;&lt;prefs&gt;&lt;pref name="fieldType" value="Field"/&gt;&lt;pref name="storeR</vt:lpwstr>
  </property>
  <property fmtid="{D5CDD505-2E9C-101B-9397-08002B2CF9AE}" pid="3" name="ZOTERO_PREF_2">
    <vt:lpwstr>eferences" value="true"/&gt;&lt;pref name="automaticJournalAbbreviations" value="false"/&gt;&lt;pref name="noteType" value="0"/&gt;&lt;/prefs&gt;&lt;/data&gt;</vt:lpwstr>
  </property>
</Properties>
</file>