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99DF" w14:textId="065C3F01" w:rsidR="00E43F04" w:rsidRDefault="000A17D3" w:rsidP="00E43F04">
      <w:pPr>
        <w:rPr>
          <w:rFonts w:ascii="Times New Roman" w:hAnsi="Times New Roman" w:cs="Times New Roman"/>
          <w:b/>
        </w:rPr>
      </w:pPr>
      <w:r>
        <w:rPr>
          <w:rFonts w:ascii="Times New Roman" w:hAnsi="Times New Roman" w:cs="Times New Roman"/>
          <w:b/>
        </w:rPr>
        <w:t>Supplementary</w:t>
      </w:r>
      <w:r w:rsidR="00E43F04" w:rsidRPr="00C02B69">
        <w:rPr>
          <w:rFonts w:ascii="Times New Roman" w:hAnsi="Times New Roman" w:cs="Times New Roman"/>
          <w:b/>
        </w:rPr>
        <w:t xml:space="preserve"> </w:t>
      </w:r>
      <w:r w:rsidR="002F59A1">
        <w:rPr>
          <w:rFonts w:ascii="Times New Roman" w:hAnsi="Times New Roman" w:cs="Times New Roman"/>
          <w:b/>
        </w:rPr>
        <w:t xml:space="preserve">Table 1: </w:t>
      </w:r>
      <w:r w:rsidR="002F59A1" w:rsidRPr="002F59A1">
        <w:rPr>
          <w:rFonts w:ascii="Times New Roman" w:hAnsi="Times New Roman" w:cs="Times New Roman"/>
          <w:b/>
        </w:rPr>
        <w:t>Decision attributes identified in the scoping review</w:t>
      </w:r>
    </w:p>
    <w:tbl>
      <w:tblPr>
        <w:tblStyle w:val="TableGrid"/>
        <w:tblW w:w="5000" w:type="pct"/>
        <w:tblBorders>
          <w:left w:val="none" w:sz="0" w:space="0" w:color="auto"/>
          <w:right w:val="none" w:sz="0" w:space="0" w:color="auto"/>
        </w:tblBorders>
        <w:tblLook w:val="06A0" w:firstRow="1" w:lastRow="0" w:firstColumn="1" w:lastColumn="0" w:noHBand="1" w:noVBand="1"/>
      </w:tblPr>
      <w:tblGrid>
        <w:gridCol w:w="2761"/>
        <w:gridCol w:w="8255"/>
      </w:tblGrid>
      <w:tr w:rsidR="00CC0BFA" w:rsidRPr="00CC0BFA" w14:paraId="74F601B8" w14:textId="77777777" w:rsidTr="00244D71">
        <w:trPr>
          <w:trHeight w:val="432"/>
        </w:trPr>
        <w:tc>
          <w:tcPr>
            <w:tcW w:w="1253" w:type="pct"/>
            <w:tcBorders>
              <w:bottom w:val="double" w:sz="4" w:space="0" w:color="auto"/>
            </w:tcBorders>
            <w:vAlign w:val="center"/>
          </w:tcPr>
          <w:p w14:paraId="58F5AAF7" w14:textId="77777777" w:rsidR="00CC0BFA" w:rsidRPr="00CC0BFA" w:rsidRDefault="00CC0BFA" w:rsidP="00244D71">
            <w:pPr>
              <w:jc w:val="center"/>
              <w:rPr>
                <w:rFonts w:ascii="Times New Roman" w:hAnsi="Times New Roman" w:cs="Times New Roman"/>
                <w:b/>
              </w:rPr>
            </w:pPr>
            <w:r w:rsidRPr="00CC0BFA">
              <w:rPr>
                <w:rFonts w:ascii="Times New Roman" w:hAnsi="Times New Roman" w:cs="Times New Roman"/>
                <w:b/>
              </w:rPr>
              <w:t>Attributes</w:t>
            </w:r>
          </w:p>
        </w:tc>
        <w:tc>
          <w:tcPr>
            <w:tcW w:w="3747" w:type="pct"/>
            <w:tcBorders>
              <w:bottom w:val="double" w:sz="4" w:space="0" w:color="auto"/>
            </w:tcBorders>
            <w:vAlign w:val="center"/>
          </w:tcPr>
          <w:p w14:paraId="63ACBDB0" w14:textId="77777777" w:rsidR="00CC0BFA" w:rsidRPr="00CC0BFA" w:rsidRDefault="00CC0BFA" w:rsidP="00244D71">
            <w:pPr>
              <w:jc w:val="center"/>
              <w:rPr>
                <w:rFonts w:ascii="Times New Roman" w:hAnsi="Times New Roman" w:cs="Times New Roman"/>
                <w:b/>
              </w:rPr>
            </w:pPr>
            <w:r w:rsidRPr="00CC0BFA">
              <w:rPr>
                <w:rFonts w:ascii="Times New Roman" w:hAnsi="Times New Roman" w:cs="Times New Roman"/>
                <w:b/>
              </w:rPr>
              <w:t>Sub-attributes/ concepts</w:t>
            </w:r>
          </w:p>
        </w:tc>
      </w:tr>
      <w:tr w:rsidR="00181EB1" w:rsidRPr="00CC0BFA" w14:paraId="589BE126" w14:textId="77777777" w:rsidTr="00244D71">
        <w:trPr>
          <w:trHeight w:val="432"/>
        </w:trPr>
        <w:tc>
          <w:tcPr>
            <w:tcW w:w="1253" w:type="pct"/>
            <w:tcBorders>
              <w:top w:val="double" w:sz="4" w:space="0" w:color="auto"/>
            </w:tcBorders>
            <w:vAlign w:val="center"/>
          </w:tcPr>
          <w:p w14:paraId="45D7357A" w14:textId="77777777" w:rsidR="00181EB1" w:rsidRPr="00CC0BFA" w:rsidRDefault="00181EB1" w:rsidP="00244D71">
            <w:pPr>
              <w:rPr>
                <w:rFonts w:ascii="Times New Roman" w:hAnsi="Times New Roman" w:cs="Times New Roman"/>
                <w:b/>
              </w:rPr>
            </w:pPr>
          </w:p>
        </w:tc>
        <w:tc>
          <w:tcPr>
            <w:tcW w:w="3747" w:type="pct"/>
            <w:tcBorders>
              <w:top w:val="double" w:sz="4" w:space="0" w:color="auto"/>
            </w:tcBorders>
            <w:vAlign w:val="center"/>
          </w:tcPr>
          <w:p w14:paraId="6C2B6A5A" w14:textId="77777777" w:rsidR="00181EB1" w:rsidRPr="00CC0BFA" w:rsidRDefault="00181EB1" w:rsidP="00244D71">
            <w:pPr>
              <w:rPr>
                <w:rFonts w:ascii="Times New Roman" w:hAnsi="Times New Roman" w:cs="Times New Roman"/>
              </w:rPr>
            </w:pPr>
            <w:bookmarkStart w:id="0" w:name="_GoBack"/>
            <w:bookmarkEnd w:id="0"/>
          </w:p>
        </w:tc>
      </w:tr>
      <w:tr w:rsidR="00CC0BFA" w:rsidRPr="00CC0BFA" w14:paraId="484B651A" w14:textId="77777777" w:rsidTr="00244D71">
        <w:trPr>
          <w:trHeight w:val="432"/>
        </w:trPr>
        <w:tc>
          <w:tcPr>
            <w:tcW w:w="1253" w:type="pct"/>
            <w:tcBorders>
              <w:top w:val="double" w:sz="4" w:space="0" w:color="auto"/>
            </w:tcBorders>
            <w:vAlign w:val="center"/>
          </w:tcPr>
          <w:p w14:paraId="1CACE88E"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Disease determinants</w:t>
            </w:r>
          </w:p>
        </w:tc>
        <w:tc>
          <w:tcPr>
            <w:tcW w:w="3747" w:type="pct"/>
            <w:tcBorders>
              <w:top w:val="double" w:sz="4" w:space="0" w:color="auto"/>
            </w:tcBorders>
            <w:vAlign w:val="center"/>
          </w:tcPr>
          <w:p w14:paraId="30625B0A"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Factors responsible for the incidence/persistence of disease. (1)</w:t>
            </w:r>
          </w:p>
        </w:tc>
      </w:tr>
      <w:tr w:rsidR="00CC0BFA" w:rsidRPr="00CC0BFA" w14:paraId="5C95B4D6" w14:textId="77777777" w:rsidTr="00244D71">
        <w:trPr>
          <w:trHeight w:val="576"/>
        </w:trPr>
        <w:tc>
          <w:tcPr>
            <w:tcW w:w="1253" w:type="pct"/>
            <w:vAlign w:val="center"/>
          </w:tcPr>
          <w:p w14:paraId="0F726174"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Disease burden-clinical</w:t>
            </w:r>
          </w:p>
        </w:tc>
        <w:tc>
          <w:tcPr>
            <w:tcW w:w="3747" w:type="pct"/>
            <w:vAlign w:val="center"/>
          </w:tcPr>
          <w:p w14:paraId="32114BCD"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Prevalence of disease, incidence of disease, absolute number of patients, severity of disease, impact of disease/condition on quality of life, number of potential beneficiaries (direct and indirect)  (6)</w:t>
            </w:r>
          </w:p>
        </w:tc>
      </w:tr>
      <w:tr w:rsidR="00CC0BFA" w:rsidRPr="00CC0BFA" w14:paraId="1049C531" w14:textId="77777777" w:rsidTr="00244D71">
        <w:trPr>
          <w:trHeight w:val="576"/>
        </w:trPr>
        <w:tc>
          <w:tcPr>
            <w:tcW w:w="1253" w:type="pct"/>
            <w:vAlign w:val="center"/>
          </w:tcPr>
          <w:p w14:paraId="76476CE0"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Need (clinical)</w:t>
            </w:r>
          </w:p>
        </w:tc>
        <w:tc>
          <w:tcPr>
            <w:tcW w:w="3747" w:type="pct"/>
            <w:vAlign w:val="center"/>
          </w:tcPr>
          <w:p w14:paraId="2D28C63C"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Availability of treatment alternatives, limitations of comparative interventions, availability of preventative measures, clinical need, emergencies. (5)</w:t>
            </w:r>
          </w:p>
        </w:tc>
      </w:tr>
      <w:tr w:rsidR="00CC0BFA" w:rsidRPr="00CC0BFA" w14:paraId="3F948EA4" w14:textId="77777777" w:rsidTr="00244D71">
        <w:trPr>
          <w:trHeight w:val="1152"/>
        </w:trPr>
        <w:tc>
          <w:tcPr>
            <w:tcW w:w="1253" w:type="pct"/>
            <w:vAlign w:val="center"/>
          </w:tcPr>
          <w:p w14:paraId="791E90A9"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Health benefit</w:t>
            </w:r>
          </w:p>
        </w:tc>
        <w:tc>
          <w:tcPr>
            <w:tcW w:w="3747" w:type="pct"/>
            <w:vAlign w:val="center"/>
          </w:tcPr>
          <w:p w14:paraId="24A09583"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Saving life, life expectancy gains, average life-year benefit per patient, prolongation of disease-free survival,  patient reported outcomes, quality of life, enhanced health outcome, quality-adjusted life years gained, disability-adjusted life years gained, overall gain in quality of care, health benefits relative to standard therapy, relative value to patient (12)</w:t>
            </w:r>
          </w:p>
        </w:tc>
      </w:tr>
      <w:tr w:rsidR="00CC0BFA" w:rsidRPr="00CC0BFA" w14:paraId="661A9470" w14:textId="77777777" w:rsidTr="00244D71">
        <w:trPr>
          <w:trHeight w:val="864"/>
        </w:trPr>
        <w:tc>
          <w:tcPr>
            <w:tcW w:w="1253" w:type="pct"/>
            <w:vAlign w:val="center"/>
          </w:tcPr>
          <w:p w14:paraId="4131116E"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Quality of evidence-clinical</w:t>
            </w:r>
          </w:p>
        </w:tc>
        <w:tc>
          <w:tcPr>
            <w:tcW w:w="3747" w:type="pct"/>
            <w:vAlign w:val="center"/>
          </w:tcPr>
          <w:p w14:paraId="1276795D"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Availability of evidence, strength of evidence, consistency of findings, quality of data, choice of end points, validity of data, certainty, precision of effect, selection of studies, proof, scientific evidence, time of assessment in technology development, therapy mechanism of action. (13)</w:t>
            </w:r>
          </w:p>
        </w:tc>
      </w:tr>
      <w:tr w:rsidR="00CC0BFA" w:rsidRPr="00CC0BFA" w14:paraId="16AB9292" w14:textId="77777777" w:rsidTr="00244D71">
        <w:trPr>
          <w:trHeight w:val="576"/>
        </w:trPr>
        <w:tc>
          <w:tcPr>
            <w:tcW w:w="1253" w:type="pct"/>
            <w:vAlign w:val="center"/>
          </w:tcPr>
          <w:p w14:paraId="24BD7A9C"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Safety of the intervention</w:t>
            </w:r>
          </w:p>
        </w:tc>
        <w:tc>
          <w:tcPr>
            <w:tcW w:w="3747" w:type="pct"/>
            <w:vAlign w:val="center"/>
          </w:tcPr>
          <w:p w14:paraId="1415780F"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Side effects, adverse effects, unintended consequences, safety and tolerability, risks, risk management, harm, risk of toxicity compared with standard therapy. (8)</w:t>
            </w:r>
          </w:p>
        </w:tc>
      </w:tr>
      <w:tr w:rsidR="00CC0BFA" w:rsidRPr="00CC0BFA" w14:paraId="39CF0EE9" w14:textId="77777777" w:rsidTr="00244D71">
        <w:trPr>
          <w:trHeight w:val="1152"/>
        </w:trPr>
        <w:tc>
          <w:tcPr>
            <w:tcW w:w="1253" w:type="pct"/>
            <w:vAlign w:val="center"/>
          </w:tcPr>
          <w:p w14:paraId="4F22AA94"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Relevance (generalizability) of evidence to practice</w:t>
            </w:r>
          </w:p>
        </w:tc>
        <w:tc>
          <w:tcPr>
            <w:tcW w:w="3747" w:type="pct"/>
            <w:vAlign w:val="center"/>
          </w:tcPr>
          <w:p w14:paraId="7FF6CACD"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Relevance of evidence, representativeness of study patients, representativeness of technology users (e.g. skill of surgeon or health care practitioner in studies vs. real world), representativeness of context (e.g. acute vs long term care; country differences), response rate, patient compliance, level of generalization, effectiveness in practice, evidence of real-world effectiveness. (9)</w:t>
            </w:r>
          </w:p>
        </w:tc>
      </w:tr>
      <w:tr w:rsidR="00CC0BFA" w:rsidRPr="00CC0BFA" w14:paraId="56D9B925" w14:textId="77777777" w:rsidTr="00244D71">
        <w:trPr>
          <w:trHeight w:val="864"/>
        </w:trPr>
        <w:tc>
          <w:tcPr>
            <w:tcW w:w="1253" w:type="pct"/>
            <w:vAlign w:val="center"/>
          </w:tcPr>
          <w:p w14:paraId="577BE4D3"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External health impact of intervention</w:t>
            </w:r>
          </w:p>
        </w:tc>
        <w:tc>
          <w:tcPr>
            <w:tcW w:w="3747" w:type="pct"/>
            <w:vAlign w:val="center"/>
          </w:tcPr>
          <w:p w14:paraId="470646DF"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Impact on patient’s family, possible harms to others (caregiver burden), transmission of infectious disease, effect on population health (positive or negative), public health interest, social impact, social benefit, prevention of ill health (8)</w:t>
            </w:r>
          </w:p>
        </w:tc>
      </w:tr>
      <w:tr w:rsidR="003848A7" w:rsidRPr="00CC0BFA" w14:paraId="49CC9B3F" w14:textId="77777777" w:rsidTr="00244D71">
        <w:trPr>
          <w:trHeight w:val="576"/>
        </w:trPr>
        <w:tc>
          <w:tcPr>
            <w:tcW w:w="1253" w:type="pct"/>
            <w:vAlign w:val="center"/>
          </w:tcPr>
          <w:p w14:paraId="3F88156C" w14:textId="77777777" w:rsidR="003848A7" w:rsidRPr="00CC0BFA" w:rsidRDefault="003848A7" w:rsidP="00244D71">
            <w:pPr>
              <w:rPr>
                <w:rFonts w:ascii="Times New Roman" w:hAnsi="Times New Roman" w:cs="Times New Roman"/>
                <w:b/>
              </w:rPr>
            </w:pPr>
          </w:p>
        </w:tc>
        <w:tc>
          <w:tcPr>
            <w:tcW w:w="3747" w:type="pct"/>
            <w:vAlign w:val="center"/>
          </w:tcPr>
          <w:p w14:paraId="62AAB41D" w14:textId="77777777" w:rsidR="003848A7" w:rsidRPr="00CC0BFA" w:rsidRDefault="003848A7" w:rsidP="00244D71">
            <w:pPr>
              <w:rPr>
                <w:rFonts w:ascii="Times New Roman" w:hAnsi="Times New Roman" w:cs="Times New Roman"/>
              </w:rPr>
            </w:pPr>
          </w:p>
        </w:tc>
      </w:tr>
      <w:tr w:rsidR="00CC0BFA" w:rsidRPr="00CC0BFA" w14:paraId="52E05AF7" w14:textId="77777777" w:rsidTr="00244D71">
        <w:trPr>
          <w:trHeight w:val="576"/>
        </w:trPr>
        <w:tc>
          <w:tcPr>
            <w:tcW w:w="1253" w:type="pct"/>
            <w:vAlign w:val="center"/>
          </w:tcPr>
          <w:p w14:paraId="79A09C00"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Disease burden-cost</w:t>
            </w:r>
          </w:p>
        </w:tc>
        <w:tc>
          <w:tcPr>
            <w:tcW w:w="3747" w:type="pct"/>
            <w:vAlign w:val="center"/>
          </w:tcPr>
          <w:p w14:paraId="218DAADB"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Cost to treat disease, cost to prevent disease, national cost of the disease/condition, cost per patient, cost of work absence (5)</w:t>
            </w:r>
          </w:p>
        </w:tc>
      </w:tr>
      <w:tr w:rsidR="00CC0BFA" w:rsidRPr="00CC0BFA" w14:paraId="11C3FCB7" w14:textId="77777777" w:rsidTr="00244D71">
        <w:trPr>
          <w:trHeight w:val="576"/>
        </w:trPr>
        <w:tc>
          <w:tcPr>
            <w:tcW w:w="1253" w:type="pct"/>
            <w:vAlign w:val="center"/>
          </w:tcPr>
          <w:p w14:paraId="040E938B"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Financial/budget impact-costs of intervention</w:t>
            </w:r>
          </w:p>
        </w:tc>
        <w:tc>
          <w:tcPr>
            <w:tcW w:w="3747" w:type="pct"/>
            <w:vAlign w:val="center"/>
          </w:tcPr>
          <w:p w14:paraId="3E3EFEDB"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Budget impact, affordability, operating and start-up costs, national medical costs per year, financial impact on government. (5)</w:t>
            </w:r>
          </w:p>
        </w:tc>
      </w:tr>
      <w:tr w:rsidR="00CC0BFA" w:rsidRPr="00CC0BFA" w14:paraId="74ADF135" w14:textId="77777777" w:rsidTr="00244D71">
        <w:trPr>
          <w:trHeight w:val="864"/>
        </w:trPr>
        <w:tc>
          <w:tcPr>
            <w:tcW w:w="1253" w:type="pct"/>
            <w:vAlign w:val="center"/>
          </w:tcPr>
          <w:p w14:paraId="26C2B433"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External cost impact</w:t>
            </w:r>
          </w:p>
        </w:tc>
        <w:tc>
          <w:tcPr>
            <w:tcW w:w="3747" w:type="pct"/>
            <w:vAlign w:val="center"/>
          </w:tcPr>
          <w:p w14:paraId="1687D974"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 xml:space="preserve">Cost to patient’s family, possible harms to others, infectious disease </w:t>
            </w:r>
            <w:proofErr w:type="gramStart"/>
            <w:r w:rsidRPr="00CC0BFA">
              <w:rPr>
                <w:rFonts w:ascii="Times New Roman" w:hAnsi="Times New Roman" w:cs="Times New Roman"/>
              </w:rPr>
              <w:t>involved,</w:t>
            </w:r>
            <w:proofErr w:type="gramEnd"/>
            <w:r w:rsidRPr="00CC0BFA">
              <w:rPr>
                <w:rFonts w:ascii="Times New Roman" w:hAnsi="Times New Roman" w:cs="Times New Roman"/>
              </w:rPr>
              <w:t xml:space="preserve"> population effect (positive or negative), public health interest, social impact, social benefit, prevention of ill health, prevention. (9)</w:t>
            </w:r>
          </w:p>
        </w:tc>
      </w:tr>
      <w:tr w:rsidR="00CC0BFA" w:rsidRPr="00CC0BFA" w14:paraId="6753D287" w14:textId="77777777" w:rsidTr="00244D71">
        <w:trPr>
          <w:trHeight w:val="432"/>
        </w:trPr>
        <w:tc>
          <w:tcPr>
            <w:tcW w:w="1253" w:type="pct"/>
            <w:vAlign w:val="center"/>
          </w:tcPr>
          <w:p w14:paraId="500B75B0"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Financial impact-savings of intervention</w:t>
            </w:r>
          </w:p>
        </w:tc>
        <w:tc>
          <w:tcPr>
            <w:tcW w:w="3747" w:type="pct"/>
            <w:vAlign w:val="center"/>
          </w:tcPr>
          <w:p w14:paraId="62AECF4E"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Cost-savings, reduced work absence (2)</w:t>
            </w:r>
          </w:p>
        </w:tc>
      </w:tr>
      <w:tr w:rsidR="00CC0BFA" w:rsidRPr="00CC0BFA" w14:paraId="7AA75F44" w14:textId="77777777" w:rsidTr="00244D71">
        <w:trPr>
          <w:trHeight w:val="432"/>
        </w:trPr>
        <w:tc>
          <w:tcPr>
            <w:tcW w:w="1253" w:type="pct"/>
            <w:vAlign w:val="center"/>
          </w:tcPr>
          <w:p w14:paraId="15C0742A"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Efficiency / value for money of the intervention</w:t>
            </w:r>
          </w:p>
        </w:tc>
        <w:tc>
          <w:tcPr>
            <w:tcW w:w="3747" w:type="pct"/>
            <w:vAlign w:val="center"/>
          </w:tcPr>
          <w:p w14:paraId="1335310C"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Cost-effectiveness, cost-utility, cost per QALY, cost consequence analysis, cost benefit analysis (5)</w:t>
            </w:r>
          </w:p>
        </w:tc>
      </w:tr>
      <w:tr w:rsidR="00CC0BFA" w:rsidRPr="00CC0BFA" w14:paraId="772FFDA9" w14:textId="77777777" w:rsidTr="00244D71">
        <w:trPr>
          <w:trHeight w:val="720"/>
        </w:trPr>
        <w:tc>
          <w:tcPr>
            <w:tcW w:w="1253" w:type="pct"/>
            <w:vAlign w:val="center"/>
          </w:tcPr>
          <w:p w14:paraId="01FE9F9B"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Quality of evidence (cost and cost effectiveness estimates)</w:t>
            </w:r>
          </w:p>
        </w:tc>
        <w:tc>
          <w:tcPr>
            <w:tcW w:w="3747" w:type="pct"/>
            <w:vAlign w:val="center"/>
          </w:tcPr>
          <w:p w14:paraId="203DA001"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Uncertainty in QALYs gained, measurement limitations of the QALY, possible benefit/harms not included in the QALY (i.e. non-health benefits, social benefits) (3)</w:t>
            </w:r>
          </w:p>
        </w:tc>
      </w:tr>
      <w:tr w:rsidR="00CC0BFA" w:rsidRPr="00CC0BFA" w14:paraId="0C270B94" w14:textId="77777777" w:rsidTr="00244D71">
        <w:trPr>
          <w:trHeight w:val="432"/>
        </w:trPr>
        <w:tc>
          <w:tcPr>
            <w:tcW w:w="1253" w:type="pct"/>
            <w:vAlign w:val="center"/>
          </w:tcPr>
          <w:p w14:paraId="07232F30"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Opportunity costs</w:t>
            </w:r>
          </w:p>
        </w:tc>
        <w:tc>
          <w:tcPr>
            <w:tcW w:w="3747" w:type="pct"/>
            <w:vAlign w:val="center"/>
          </w:tcPr>
          <w:p w14:paraId="6BD60267"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Opportunity costs to the population. (1)</w:t>
            </w:r>
          </w:p>
        </w:tc>
      </w:tr>
      <w:tr w:rsidR="003848A7" w:rsidRPr="00CC0BFA" w14:paraId="6568A8CC" w14:textId="77777777" w:rsidTr="00244D71">
        <w:trPr>
          <w:trHeight w:val="720"/>
        </w:trPr>
        <w:tc>
          <w:tcPr>
            <w:tcW w:w="1253" w:type="pct"/>
            <w:vAlign w:val="center"/>
          </w:tcPr>
          <w:p w14:paraId="642788A7" w14:textId="77777777" w:rsidR="003848A7" w:rsidRPr="00CC0BFA" w:rsidRDefault="003848A7" w:rsidP="00244D71">
            <w:pPr>
              <w:rPr>
                <w:rFonts w:ascii="Times New Roman" w:hAnsi="Times New Roman" w:cs="Times New Roman"/>
                <w:b/>
              </w:rPr>
            </w:pPr>
          </w:p>
        </w:tc>
        <w:tc>
          <w:tcPr>
            <w:tcW w:w="3747" w:type="pct"/>
            <w:vAlign w:val="center"/>
          </w:tcPr>
          <w:p w14:paraId="5BB2620E" w14:textId="77777777" w:rsidR="003848A7" w:rsidRPr="00CC0BFA" w:rsidRDefault="003848A7" w:rsidP="00244D71">
            <w:pPr>
              <w:rPr>
                <w:rFonts w:ascii="Times New Roman" w:hAnsi="Times New Roman" w:cs="Times New Roman"/>
              </w:rPr>
            </w:pPr>
          </w:p>
        </w:tc>
      </w:tr>
      <w:tr w:rsidR="00CC0BFA" w:rsidRPr="00CC0BFA" w14:paraId="42F8A265" w14:textId="77777777" w:rsidTr="00244D71">
        <w:trPr>
          <w:trHeight w:val="720"/>
        </w:trPr>
        <w:tc>
          <w:tcPr>
            <w:tcW w:w="1253" w:type="pct"/>
            <w:vAlign w:val="center"/>
          </w:tcPr>
          <w:p w14:paraId="50F3DE4B"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lastRenderedPageBreak/>
              <w:t>Ethics and moral issues</w:t>
            </w:r>
          </w:p>
        </w:tc>
        <w:tc>
          <w:tcPr>
            <w:tcW w:w="3747" w:type="pct"/>
            <w:vAlign w:val="center"/>
          </w:tcPr>
          <w:p w14:paraId="36A3BF8F"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Consistency with societal values, moral consequences of HTA, ethical implications, rule of rescue. (4)</w:t>
            </w:r>
          </w:p>
        </w:tc>
      </w:tr>
      <w:tr w:rsidR="00CC0BFA" w:rsidRPr="00CC0BFA" w14:paraId="35914AD6" w14:textId="77777777" w:rsidTr="00244D71">
        <w:trPr>
          <w:trHeight w:val="864"/>
        </w:trPr>
        <w:tc>
          <w:tcPr>
            <w:tcW w:w="1253" w:type="pct"/>
            <w:vAlign w:val="center"/>
          </w:tcPr>
          <w:p w14:paraId="577AE78A"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Vulnerable and needy populations</w:t>
            </w:r>
          </w:p>
        </w:tc>
        <w:tc>
          <w:tcPr>
            <w:tcW w:w="3747" w:type="pct"/>
            <w:vAlign w:val="center"/>
          </w:tcPr>
          <w:p w14:paraId="211173B9"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Vulnerable populations (e.g. age, gender, geography, ethnicity, indigenous populations), life extending treatment for end of life, social groups with high risk and/or increased vulnerability, age of targeted group, population equity, positive poverty reduction. (6)</w:t>
            </w:r>
          </w:p>
        </w:tc>
      </w:tr>
      <w:tr w:rsidR="00CC0BFA" w:rsidRPr="00CC0BFA" w14:paraId="1ABDC4AD" w14:textId="77777777" w:rsidTr="00244D71">
        <w:trPr>
          <w:trHeight w:val="432"/>
        </w:trPr>
        <w:tc>
          <w:tcPr>
            <w:tcW w:w="1253" w:type="pct"/>
            <w:vAlign w:val="center"/>
          </w:tcPr>
          <w:p w14:paraId="21F0CA49"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Human dignity</w:t>
            </w:r>
          </w:p>
        </w:tc>
        <w:tc>
          <w:tcPr>
            <w:tcW w:w="3747" w:type="pct"/>
            <w:vAlign w:val="center"/>
          </w:tcPr>
          <w:p w14:paraId="2D8D247E"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Human integrity and dignity, basic human rights, meeting patients’ basic needs. (3)</w:t>
            </w:r>
          </w:p>
        </w:tc>
      </w:tr>
      <w:tr w:rsidR="00CC0BFA" w:rsidRPr="00CC0BFA" w14:paraId="3EF63423" w14:textId="77777777" w:rsidTr="00244D71">
        <w:trPr>
          <w:trHeight w:val="576"/>
        </w:trPr>
        <w:tc>
          <w:tcPr>
            <w:tcW w:w="1253" w:type="pct"/>
            <w:vAlign w:val="center"/>
          </w:tcPr>
          <w:p w14:paraId="7D2EDE96"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Patient autonomy and patient preference</w:t>
            </w:r>
          </w:p>
        </w:tc>
        <w:tc>
          <w:tcPr>
            <w:tcW w:w="3747" w:type="pct"/>
            <w:vAlign w:val="center"/>
          </w:tcPr>
          <w:p w14:paraId="0A1E141C"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Patient autonomy, patient preferences for treatment, patient preferences for outcomes, patient-</w:t>
            </w:r>
            <w:proofErr w:type="spellStart"/>
            <w:r w:rsidRPr="00CC0BFA">
              <w:rPr>
                <w:rFonts w:ascii="Times New Roman" w:hAnsi="Times New Roman" w:cs="Times New Roman"/>
              </w:rPr>
              <w:t>centred</w:t>
            </w:r>
            <w:proofErr w:type="spellEnd"/>
            <w:r w:rsidRPr="00CC0BFA">
              <w:rPr>
                <w:rFonts w:ascii="Times New Roman" w:hAnsi="Times New Roman" w:cs="Times New Roman"/>
              </w:rPr>
              <w:t xml:space="preserve"> healthcare, patient &amp; public involvement in decision making (5)</w:t>
            </w:r>
          </w:p>
        </w:tc>
      </w:tr>
      <w:tr w:rsidR="00CC0BFA" w:rsidRPr="00CC0BFA" w14:paraId="4B13983B" w14:textId="77777777" w:rsidTr="00244D71">
        <w:trPr>
          <w:trHeight w:val="864"/>
        </w:trPr>
        <w:tc>
          <w:tcPr>
            <w:tcW w:w="1253" w:type="pct"/>
            <w:vAlign w:val="center"/>
          </w:tcPr>
          <w:p w14:paraId="063B04E0"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Equity, fairness and justice</w:t>
            </w:r>
          </w:p>
        </w:tc>
        <w:tc>
          <w:tcPr>
            <w:tcW w:w="3747" w:type="pct"/>
            <w:vAlign w:val="center"/>
          </w:tcPr>
          <w:p w14:paraId="2136B6E8"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Equity, fairness, health equity, equality, distributive justice, formal justice, procedural justice, social justice, addressing health status inequalities at population level, geographical equity, equity of access, timeliness of access. (12)</w:t>
            </w:r>
          </w:p>
        </w:tc>
      </w:tr>
      <w:tr w:rsidR="00CC0BFA" w:rsidRPr="00CC0BFA" w14:paraId="0E4B0F15" w14:textId="77777777" w:rsidTr="00244D71">
        <w:trPr>
          <w:trHeight w:val="432"/>
        </w:trPr>
        <w:tc>
          <w:tcPr>
            <w:tcW w:w="1253" w:type="pct"/>
            <w:vAlign w:val="center"/>
          </w:tcPr>
          <w:p w14:paraId="49C3E0E1"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Utility</w:t>
            </w:r>
          </w:p>
        </w:tc>
        <w:tc>
          <w:tcPr>
            <w:tcW w:w="3747" w:type="pct"/>
            <w:vAlign w:val="center"/>
          </w:tcPr>
          <w:p w14:paraId="7A970295"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Utility, utilitarianism. (2)</w:t>
            </w:r>
          </w:p>
        </w:tc>
      </w:tr>
      <w:tr w:rsidR="00CC0BFA" w:rsidRPr="00CC0BFA" w14:paraId="1C27772E" w14:textId="77777777" w:rsidTr="00244D71">
        <w:trPr>
          <w:trHeight w:val="432"/>
        </w:trPr>
        <w:tc>
          <w:tcPr>
            <w:tcW w:w="1253" w:type="pct"/>
            <w:vAlign w:val="center"/>
          </w:tcPr>
          <w:p w14:paraId="708E6354"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Solidarity</w:t>
            </w:r>
          </w:p>
        </w:tc>
        <w:tc>
          <w:tcPr>
            <w:tcW w:w="3747" w:type="pct"/>
            <w:vAlign w:val="center"/>
          </w:tcPr>
          <w:p w14:paraId="21859164"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Solidarity, collectivism, cohesion. (3)</w:t>
            </w:r>
          </w:p>
        </w:tc>
      </w:tr>
      <w:tr w:rsidR="00CC0BFA" w:rsidRPr="00CC0BFA" w14:paraId="522B42FF" w14:textId="77777777" w:rsidTr="00244D71">
        <w:trPr>
          <w:trHeight w:val="432"/>
        </w:trPr>
        <w:tc>
          <w:tcPr>
            <w:tcW w:w="1253" w:type="pct"/>
            <w:vAlign w:val="center"/>
          </w:tcPr>
          <w:p w14:paraId="3113EEFC"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Cultural aspects</w:t>
            </w:r>
          </w:p>
        </w:tc>
        <w:tc>
          <w:tcPr>
            <w:tcW w:w="3747" w:type="pct"/>
            <w:vAlign w:val="center"/>
          </w:tcPr>
          <w:p w14:paraId="64C41A21"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Cultural and religious convictions. (2)</w:t>
            </w:r>
          </w:p>
        </w:tc>
      </w:tr>
      <w:tr w:rsidR="003848A7" w:rsidRPr="00CC0BFA" w14:paraId="1F9A1B81" w14:textId="77777777" w:rsidTr="00244D71">
        <w:trPr>
          <w:trHeight w:val="576"/>
        </w:trPr>
        <w:tc>
          <w:tcPr>
            <w:tcW w:w="1253" w:type="pct"/>
            <w:vAlign w:val="center"/>
          </w:tcPr>
          <w:p w14:paraId="0D8CAFBD" w14:textId="77777777" w:rsidR="003848A7" w:rsidRPr="00CC0BFA" w:rsidRDefault="003848A7" w:rsidP="00244D71">
            <w:pPr>
              <w:rPr>
                <w:rFonts w:ascii="Times New Roman" w:hAnsi="Times New Roman" w:cs="Times New Roman"/>
                <w:b/>
              </w:rPr>
            </w:pPr>
          </w:p>
        </w:tc>
        <w:tc>
          <w:tcPr>
            <w:tcW w:w="3747" w:type="pct"/>
            <w:vAlign w:val="center"/>
          </w:tcPr>
          <w:p w14:paraId="693E8C52" w14:textId="77777777" w:rsidR="003848A7" w:rsidRPr="00CC0BFA" w:rsidRDefault="003848A7" w:rsidP="00244D71">
            <w:pPr>
              <w:rPr>
                <w:rFonts w:ascii="Times New Roman" w:hAnsi="Times New Roman" w:cs="Times New Roman"/>
              </w:rPr>
            </w:pPr>
          </w:p>
        </w:tc>
      </w:tr>
      <w:tr w:rsidR="00CC0BFA" w:rsidRPr="00CC0BFA" w14:paraId="02A0AEBC" w14:textId="77777777" w:rsidTr="00244D71">
        <w:trPr>
          <w:trHeight w:val="576"/>
        </w:trPr>
        <w:tc>
          <w:tcPr>
            <w:tcW w:w="1253" w:type="pct"/>
            <w:vAlign w:val="center"/>
          </w:tcPr>
          <w:p w14:paraId="60B616C3"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Priorities: national, local level etc.</w:t>
            </w:r>
          </w:p>
        </w:tc>
        <w:tc>
          <w:tcPr>
            <w:tcW w:w="3747" w:type="pct"/>
            <w:vAlign w:val="center"/>
          </w:tcPr>
          <w:p w14:paraId="449426C8"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National priorities, local priorities (does it meet a local health need? public expectations?), international priorities, strategic direction of the organization. (4)</w:t>
            </w:r>
          </w:p>
        </w:tc>
      </w:tr>
      <w:tr w:rsidR="00CC0BFA" w:rsidRPr="00CC0BFA" w14:paraId="1004339D" w14:textId="77777777" w:rsidTr="00244D71">
        <w:trPr>
          <w:trHeight w:val="864"/>
        </w:trPr>
        <w:tc>
          <w:tcPr>
            <w:tcW w:w="1253" w:type="pct"/>
            <w:vAlign w:val="center"/>
          </w:tcPr>
          <w:p w14:paraId="695C213C"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Stakeholder interests and pressures; political aspects.</w:t>
            </w:r>
          </w:p>
        </w:tc>
        <w:tc>
          <w:tcPr>
            <w:tcW w:w="3747" w:type="pct"/>
            <w:vAlign w:val="center"/>
          </w:tcPr>
          <w:p w14:paraId="0E73EAD2"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Advocacy, pressure from patient groups, pressure from physician groups, producer interests, recommendations made by other countries, clinical expert opinions; political pressure, political impact. (8)</w:t>
            </w:r>
          </w:p>
        </w:tc>
      </w:tr>
      <w:tr w:rsidR="003848A7" w:rsidRPr="00CC0BFA" w14:paraId="79F85C02" w14:textId="77777777" w:rsidTr="00244D71">
        <w:trPr>
          <w:trHeight w:val="1296"/>
        </w:trPr>
        <w:tc>
          <w:tcPr>
            <w:tcW w:w="1253" w:type="pct"/>
            <w:vAlign w:val="center"/>
          </w:tcPr>
          <w:p w14:paraId="4C7C8D40" w14:textId="77777777" w:rsidR="003848A7" w:rsidRPr="00CC0BFA" w:rsidRDefault="003848A7" w:rsidP="00244D71">
            <w:pPr>
              <w:rPr>
                <w:rFonts w:ascii="Times New Roman" w:hAnsi="Times New Roman" w:cs="Times New Roman"/>
                <w:b/>
              </w:rPr>
            </w:pPr>
          </w:p>
        </w:tc>
        <w:tc>
          <w:tcPr>
            <w:tcW w:w="3747" w:type="pct"/>
            <w:vAlign w:val="center"/>
          </w:tcPr>
          <w:p w14:paraId="61439D59" w14:textId="77777777" w:rsidR="003848A7" w:rsidRPr="00CC0BFA" w:rsidRDefault="003848A7" w:rsidP="00244D71">
            <w:pPr>
              <w:rPr>
                <w:rFonts w:ascii="Times New Roman" w:hAnsi="Times New Roman" w:cs="Times New Roman"/>
              </w:rPr>
            </w:pPr>
          </w:p>
        </w:tc>
      </w:tr>
      <w:tr w:rsidR="00CC0BFA" w:rsidRPr="00CC0BFA" w14:paraId="53CFB03E" w14:textId="77777777" w:rsidTr="00244D71">
        <w:trPr>
          <w:trHeight w:val="1296"/>
        </w:trPr>
        <w:tc>
          <w:tcPr>
            <w:tcW w:w="1253" w:type="pct"/>
            <w:vAlign w:val="center"/>
          </w:tcPr>
          <w:p w14:paraId="0C3CBFCB"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Feasibility (at the organizational level and at the system level)</w:t>
            </w:r>
          </w:p>
        </w:tc>
        <w:tc>
          <w:tcPr>
            <w:tcW w:w="3747" w:type="pct"/>
            <w:vAlign w:val="center"/>
          </w:tcPr>
          <w:p w14:paraId="1196733D"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System requirements, physical environment, system capacity, local capacity, ability to implement,  organization structure, organizational burden, logistics, process, well-organized, feasibility of delivery;  enablers and barriers to diffusion within the health system infrastructure (</w:t>
            </w:r>
            <w:r w:rsidRPr="00CC0BFA">
              <w:rPr>
                <w:rFonts w:ascii="Times New Roman" w:hAnsi="Times New Roman" w:cs="Times New Roman"/>
                <w:i/>
                <w:iCs/>
              </w:rPr>
              <w:t>operational, capital, human resources, legislative, regulatory</w:t>
            </w:r>
            <w:r w:rsidRPr="00CC0BFA">
              <w:rPr>
                <w:rFonts w:ascii="Times New Roman" w:hAnsi="Times New Roman" w:cs="Times New Roman"/>
              </w:rPr>
              <w:t>), ease of integration into local community, system integration, system-level acceptability (15)</w:t>
            </w:r>
          </w:p>
        </w:tc>
      </w:tr>
      <w:tr w:rsidR="00CC0BFA" w:rsidRPr="00CC0BFA" w14:paraId="18914C70" w14:textId="77777777" w:rsidTr="00244D71">
        <w:trPr>
          <w:trHeight w:val="576"/>
        </w:trPr>
        <w:tc>
          <w:tcPr>
            <w:tcW w:w="1253" w:type="pct"/>
            <w:vAlign w:val="center"/>
          </w:tcPr>
          <w:p w14:paraId="61A9267E"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Flexibility of implementation</w:t>
            </w:r>
          </w:p>
        </w:tc>
        <w:tc>
          <w:tcPr>
            <w:tcW w:w="3747" w:type="pct"/>
            <w:vAlign w:val="center"/>
          </w:tcPr>
          <w:p w14:paraId="3136A629"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 xml:space="preserve">Flexibility, reversibility, </w:t>
            </w:r>
            <w:proofErr w:type="spellStart"/>
            <w:r w:rsidRPr="00CC0BFA">
              <w:rPr>
                <w:rFonts w:ascii="Times New Roman" w:hAnsi="Times New Roman" w:cs="Times New Roman"/>
              </w:rPr>
              <w:t>revisability</w:t>
            </w:r>
            <w:proofErr w:type="spellEnd"/>
            <w:r w:rsidRPr="00CC0BFA">
              <w:rPr>
                <w:rFonts w:ascii="Times New Roman" w:hAnsi="Times New Roman" w:cs="Times New Roman"/>
              </w:rPr>
              <w:t>, ability to evaluate, ability to change/modify implementation. (5)</w:t>
            </w:r>
          </w:p>
        </w:tc>
      </w:tr>
      <w:tr w:rsidR="00CC0BFA" w:rsidRPr="00CC0BFA" w14:paraId="56B95A76" w14:textId="77777777" w:rsidTr="00244D71">
        <w:trPr>
          <w:trHeight w:val="432"/>
        </w:trPr>
        <w:tc>
          <w:tcPr>
            <w:tcW w:w="1253" w:type="pct"/>
            <w:vAlign w:val="center"/>
          </w:tcPr>
          <w:p w14:paraId="192E1A7D" w14:textId="77777777" w:rsidR="00CC0BFA" w:rsidRPr="00CC0BFA" w:rsidRDefault="00CC0BFA" w:rsidP="00244D71">
            <w:pPr>
              <w:rPr>
                <w:rFonts w:ascii="Times New Roman" w:hAnsi="Times New Roman" w:cs="Times New Roman"/>
                <w:b/>
              </w:rPr>
            </w:pPr>
            <w:r w:rsidRPr="00CC0BFA">
              <w:rPr>
                <w:rFonts w:ascii="Times New Roman" w:hAnsi="Times New Roman" w:cs="Times New Roman"/>
                <w:b/>
              </w:rPr>
              <w:t>Ensuring adequate quality and sustainability of intervention</w:t>
            </w:r>
          </w:p>
        </w:tc>
        <w:tc>
          <w:tcPr>
            <w:tcW w:w="3747" w:type="pct"/>
            <w:vAlign w:val="center"/>
          </w:tcPr>
          <w:p w14:paraId="18BAF0EC" w14:textId="77777777" w:rsidR="00CC0BFA" w:rsidRPr="00CC0BFA" w:rsidRDefault="00CC0BFA" w:rsidP="00244D71">
            <w:pPr>
              <w:rPr>
                <w:rFonts w:ascii="Times New Roman" w:hAnsi="Times New Roman" w:cs="Times New Roman"/>
              </w:rPr>
            </w:pPr>
            <w:r w:rsidRPr="00CC0BFA">
              <w:rPr>
                <w:rFonts w:ascii="Times New Roman" w:hAnsi="Times New Roman" w:cs="Times New Roman"/>
              </w:rPr>
              <w:t>Appropriate use of intervention, appropriateness, appropriate setting/level of service, sustainability, longevity. (5)</w:t>
            </w:r>
          </w:p>
        </w:tc>
      </w:tr>
    </w:tbl>
    <w:p w14:paraId="745782D1" w14:textId="76D4A9B3" w:rsidR="000A0CB7" w:rsidRPr="00C60996" w:rsidRDefault="000A0CB7" w:rsidP="009275CD">
      <w:pPr>
        <w:spacing w:line="480" w:lineRule="auto"/>
        <w:rPr>
          <w:rFonts w:ascii="Times New Roman" w:hAnsi="Times New Roman" w:cs="Times New Roman"/>
        </w:rPr>
      </w:pPr>
    </w:p>
    <w:sectPr w:rsidR="000A0CB7" w:rsidRPr="00C60996" w:rsidSect="006F3BEA">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8E5A0" w15:done="0"/>
  <w15:commentEx w15:paraId="311AD2D7" w15:done="0"/>
  <w15:commentEx w15:paraId="342584A5" w15:done="0"/>
  <w15:commentEx w15:paraId="6ECBAC5A" w15:done="0"/>
  <w15:commentEx w15:paraId="6F393217" w15:done="0"/>
  <w15:commentEx w15:paraId="0C468267" w15:done="0"/>
  <w15:commentEx w15:paraId="6C576E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4B7519"/>
    <w:multiLevelType w:val="hybridMultilevel"/>
    <w:tmpl w:val="1BD2A018"/>
    <w:lvl w:ilvl="0" w:tplc="4E4C43A0">
      <w:start w:val="1"/>
      <w:numFmt w:val="bullet"/>
      <w:lvlText w:val=" "/>
      <w:lvlJc w:val="left"/>
      <w:pPr>
        <w:tabs>
          <w:tab w:val="num" w:pos="720"/>
        </w:tabs>
        <w:ind w:left="720" w:hanging="360"/>
      </w:pPr>
      <w:rPr>
        <w:rFonts w:ascii="Calibri" w:hAnsi="Calibri" w:hint="default"/>
      </w:rPr>
    </w:lvl>
    <w:lvl w:ilvl="1" w:tplc="AA9EFDCA">
      <w:numFmt w:val="bullet"/>
      <w:lvlText w:val="◦"/>
      <w:lvlJc w:val="left"/>
      <w:pPr>
        <w:tabs>
          <w:tab w:val="num" w:pos="1440"/>
        </w:tabs>
        <w:ind w:left="1440" w:hanging="360"/>
      </w:pPr>
      <w:rPr>
        <w:rFonts w:ascii="Calibri" w:hAnsi="Calibri" w:hint="default"/>
      </w:rPr>
    </w:lvl>
    <w:lvl w:ilvl="2" w:tplc="EA30C060" w:tentative="1">
      <w:start w:val="1"/>
      <w:numFmt w:val="bullet"/>
      <w:lvlText w:val=" "/>
      <w:lvlJc w:val="left"/>
      <w:pPr>
        <w:tabs>
          <w:tab w:val="num" w:pos="2160"/>
        </w:tabs>
        <w:ind w:left="2160" w:hanging="360"/>
      </w:pPr>
      <w:rPr>
        <w:rFonts w:ascii="Calibri" w:hAnsi="Calibri" w:hint="default"/>
      </w:rPr>
    </w:lvl>
    <w:lvl w:ilvl="3" w:tplc="D3CE01E8" w:tentative="1">
      <w:start w:val="1"/>
      <w:numFmt w:val="bullet"/>
      <w:lvlText w:val=" "/>
      <w:lvlJc w:val="left"/>
      <w:pPr>
        <w:tabs>
          <w:tab w:val="num" w:pos="2880"/>
        </w:tabs>
        <w:ind w:left="2880" w:hanging="360"/>
      </w:pPr>
      <w:rPr>
        <w:rFonts w:ascii="Calibri" w:hAnsi="Calibri" w:hint="default"/>
      </w:rPr>
    </w:lvl>
    <w:lvl w:ilvl="4" w:tplc="9F868898" w:tentative="1">
      <w:start w:val="1"/>
      <w:numFmt w:val="bullet"/>
      <w:lvlText w:val=" "/>
      <w:lvlJc w:val="left"/>
      <w:pPr>
        <w:tabs>
          <w:tab w:val="num" w:pos="3600"/>
        </w:tabs>
        <w:ind w:left="3600" w:hanging="360"/>
      </w:pPr>
      <w:rPr>
        <w:rFonts w:ascii="Calibri" w:hAnsi="Calibri" w:hint="default"/>
      </w:rPr>
    </w:lvl>
    <w:lvl w:ilvl="5" w:tplc="9F922CAC" w:tentative="1">
      <w:start w:val="1"/>
      <w:numFmt w:val="bullet"/>
      <w:lvlText w:val=" "/>
      <w:lvlJc w:val="left"/>
      <w:pPr>
        <w:tabs>
          <w:tab w:val="num" w:pos="4320"/>
        </w:tabs>
        <w:ind w:left="4320" w:hanging="360"/>
      </w:pPr>
      <w:rPr>
        <w:rFonts w:ascii="Calibri" w:hAnsi="Calibri" w:hint="default"/>
      </w:rPr>
    </w:lvl>
    <w:lvl w:ilvl="6" w:tplc="4DC030E2" w:tentative="1">
      <w:start w:val="1"/>
      <w:numFmt w:val="bullet"/>
      <w:lvlText w:val=" "/>
      <w:lvlJc w:val="left"/>
      <w:pPr>
        <w:tabs>
          <w:tab w:val="num" w:pos="5040"/>
        </w:tabs>
        <w:ind w:left="5040" w:hanging="360"/>
      </w:pPr>
      <w:rPr>
        <w:rFonts w:ascii="Calibri" w:hAnsi="Calibri" w:hint="default"/>
      </w:rPr>
    </w:lvl>
    <w:lvl w:ilvl="7" w:tplc="9C2CB596" w:tentative="1">
      <w:start w:val="1"/>
      <w:numFmt w:val="bullet"/>
      <w:lvlText w:val=" "/>
      <w:lvlJc w:val="left"/>
      <w:pPr>
        <w:tabs>
          <w:tab w:val="num" w:pos="5760"/>
        </w:tabs>
        <w:ind w:left="5760" w:hanging="360"/>
      </w:pPr>
      <w:rPr>
        <w:rFonts w:ascii="Calibri" w:hAnsi="Calibri" w:hint="default"/>
      </w:rPr>
    </w:lvl>
    <w:lvl w:ilvl="8" w:tplc="AEA2043A" w:tentative="1">
      <w:start w:val="1"/>
      <w:numFmt w:val="bullet"/>
      <w:lvlText w:val=" "/>
      <w:lvlJc w:val="left"/>
      <w:pPr>
        <w:tabs>
          <w:tab w:val="num" w:pos="6480"/>
        </w:tabs>
        <w:ind w:left="6480" w:hanging="360"/>
      </w:pPr>
      <w:rPr>
        <w:rFonts w:ascii="Calibri" w:hAnsi="Calibri" w:hint="default"/>
      </w:rPr>
    </w:lvl>
  </w:abstractNum>
  <w:abstractNum w:abstractNumId="11">
    <w:nsid w:val="12D5220F"/>
    <w:multiLevelType w:val="hybridMultilevel"/>
    <w:tmpl w:val="F0407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B1434"/>
    <w:multiLevelType w:val="hybridMultilevel"/>
    <w:tmpl w:val="86D669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721FB2"/>
    <w:multiLevelType w:val="hybridMultilevel"/>
    <w:tmpl w:val="2EC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34996"/>
    <w:multiLevelType w:val="multilevel"/>
    <w:tmpl w:val="A91E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1"/>
  </w:num>
  <w:num w:numId="13">
    <w:abstractNumId w:val="10"/>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ray Krahn">
    <w15:presenceInfo w15:providerId="None" w15:userId="Murray Kr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JB modifi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0rx2dao59f0teedwtxxevxvee9a2fwdevw&quot;&gt;DD_SR_References_FINAL_JB&lt;record-ids&gt;&lt;item&gt;2&lt;/item&gt;&lt;item&gt;3&lt;/item&gt;&lt;item&gt;4&lt;/item&gt;&lt;item&gt;5&lt;/item&gt;&lt;item&gt;8&lt;/item&gt;&lt;item&gt;11&lt;/item&gt;&lt;item&gt;12&lt;/item&gt;&lt;item&gt;14&lt;/item&gt;&lt;item&gt;15&lt;/item&gt;&lt;item&gt;16&lt;/item&gt;&lt;item&gt;17&lt;/item&gt;&lt;item&gt;18&lt;/item&gt;&lt;item&gt;19&lt;/item&gt;&lt;item&gt;29&lt;/item&gt;&lt;item&gt;30&lt;/item&gt;&lt;item&gt;35&lt;/item&gt;&lt;item&gt;36&lt;/item&gt;&lt;item&gt;37&lt;/item&gt;&lt;item&gt;38&lt;/item&gt;&lt;item&gt;39&lt;/item&gt;&lt;item&gt;40&lt;/item&gt;&lt;item&gt;42&lt;/item&gt;&lt;item&gt;44&lt;/item&gt;&lt;item&gt;48&lt;/item&gt;&lt;item&gt;49&lt;/item&gt;&lt;/record-ids&gt;&lt;/item&gt;&lt;/Libraries&gt;"/>
  </w:docVars>
  <w:rsids>
    <w:rsidRoot w:val="00BB6801"/>
    <w:rsid w:val="00022B83"/>
    <w:rsid w:val="000236C3"/>
    <w:rsid w:val="000267DB"/>
    <w:rsid w:val="00050DD5"/>
    <w:rsid w:val="00064F58"/>
    <w:rsid w:val="000756C4"/>
    <w:rsid w:val="00080870"/>
    <w:rsid w:val="000A0CB7"/>
    <w:rsid w:val="000A17D3"/>
    <w:rsid w:val="000A17EC"/>
    <w:rsid w:val="000B2E66"/>
    <w:rsid w:val="000B51B1"/>
    <w:rsid w:val="000B78C9"/>
    <w:rsid w:val="000C0786"/>
    <w:rsid w:val="000D4917"/>
    <w:rsid w:val="000E017D"/>
    <w:rsid w:val="000E2F88"/>
    <w:rsid w:val="000E4123"/>
    <w:rsid w:val="000E4677"/>
    <w:rsid w:val="000F3B19"/>
    <w:rsid w:val="00101544"/>
    <w:rsid w:val="00101D03"/>
    <w:rsid w:val="00105F53"/>
    <w:rsid w:val="00110449"/>
    <w:rsid w:val="00110900"/>
    <w:rsid w:val="001325F3"/>
    <w:rsid w:val="00146D6A"/>
    <w:rsid w:val="001537C5"/>
    <w:rsid w:val="00154C74"/>
    <w:rsid w:val="00166444"/>
    <w:rsid w:val="00167DB1"/>
    <w:rsid w:val="0017206E"/>
    <w:rsid w:val="00176257"/>
    <w:rsid w:val="00176D8A"/>
    <w:rsid w:val="00181EB1"/>
    <w:rsid w:val="0019114C"/>
    <w:rsid w:val="00193060"/>
    <w:rsid w:val="00195369"/>
    <w:rsid w:val="001A7067"/>
    <w:rsid w:val="001B47AD"/>
    <w:rsid w:val="001B7318"/>
    <w:rsid w:val="001C3977"/>
    <w:rsid w:val="001C69E7"/>
    <w:rsid w:val="001D4DC7"/>
    <w:rsid w:val="001E5A8C"/>
    <w:rsid w:val="00206ECB"/>
    <w:rsid w:val="0021408E"/>
    <w:rsid w:val="002151BB"/>
    <w:rsid w:val="002345F9"/>
    <w:rsid w:val="0023477B"/>
    <w:rsid w:val="00236F41"/>
    <w:rsid w:val="0024042D"/>
    <w:rsid w:val="00240543"/>
    <w:rsid w:val="002444BA"/>
    <w:rsid w:val="00251CCB"/>
    <w:rsid w:val="0025763E"/>
    <w:rsid w:val="0026791F"/>
    <w:rsid w:val="00271032"/>
    <w:rsid w:val="002730F5"/>
    <w:rsid w:val="0027431E"/>
    <w:rsid w:val="00274C20"/>
    <w:rsid w:val="002872EF"/>
    <w:rsid w:val="002914A2"/>
    <w:rsid w:val="002931DD"/>
    <w:rsid w:val="0029570E"/>
    <w:rsid w:val="002A11E8"/>
    <w:rsid w:val="002B23EB"/>
    <w:rsid w:val="002B3DD7"/>
    <w:rsid w:val="002C65B1"/>
    <w:rsid w:val="002C7740"/>
    <w:rsid w:val="002D1732"/>
    <w:rsid w:val="002D66C4"/>
    <w:rsid w:val="002E222A"/>
    <w:rsid w:val="002F2D70"/>
    <w:rsid w:val="002F59A1"/>
    <w:rsid w:val="002F6B47"/>
    <w:rsid w:val="003008B2"/>
    <w:rsid w:val="003057AB"/>
    <w:rsid w:val="00312E57"/>
    <w:rsid w:val="00320667"/>
    <w:rsid w:val="00321AD0"/>
    <w:rsid w:val="00324F8B"/>
    <w:rsid w:val="0033495A"/>
    <w:rsid w:val="00337AF2"/>
    <w:rsid w:val="0034013D"/>
    <w:rsid w:val="00345C46"/>
    <w:rsid w:val="003642C1"/>
    <w:rsid w:val="00366141"/>
    <w:rsid w:val="00367C02"/>
    <w:rsid w:val="00380E4B"/>
    <w:rsid w:val="003848A7"/>
    <w:rsid w:val="00385971"/>
    <w:rsid w:val="00385A13"/>
    <w:rsid w:val="00386933"/>
    <w:rsid w:val="003A5D8C"/>
    <w:rsid w:val="003B267B"/>
    <w:rsid w:val="003C2EE0"/>
    <w:rsid w:val="003F1BB2"/>
    <w:rsid w:val="00416B00"/>
    <w:rsid w:val="00421670"/>
    <w:rsid w:val="00426E63"/>
    <w:rsid w:val="004344A7"/>
    <w:rsid w:val="00435644"/>
    <w:rsid w:val="00476D8B"/>
    <w:rsid w:val="00477D6B"/>
    <w:rsid w:val="00482ADA"/>
    <w:rsid w:val="00484B8D"/>
    <w:rsid w:val="00493859"/>
    <w:rsid w:val="004A284A"/>
    <w:rsid w:val="004A6745"/>
    <w:rsid w:val="004B72B5"/>
    <w:rsid w:val="004D021A"/>
    <w:rsid w:val="004F7888"/>
    <w:rsid w:val="005114E1"/>
    <w:rsid w:val="005131DB"/>
    <w:rsid w:val="00522F81"/>
    <w:rsid w:val="00530FF5"/>
    <w:rsid w:val="00532ED8"/>
    <w:rsid w:val="005354CD"/>
    <w:rsid w:val="0055256F"/>
    <w:rsid w:val="00562BD5"/>
    <w:rsid w:val="00567981"/>
    <w:rsid w:val="00577221"/>
    <w:rsid w:val="005B0ACC"/>
    <w:rsid w:val="005B3A77"/>
    <w:rsid w:val="005C1C9A"/>
    <w:rsid w:val="005C59E6"/>
    <w:rsid w:val="005D09B8"/>
    <w:rsid w:val="005D4CFE"/>
    <w:rsid w:val="005F0E1B"/>
    <w:rsid w:val="005F1284"/>
    <w:rsid w:val="005F445E"/>
    <w:rsid w:val="00613F8A"/>
    <w:rsid w:val="006147A5"/>
    <w:rsid w:val="006349C8"/>
    <w:rsid w:val="006360B4"/>
    <w:rsid w:val="006406A4"/>
    <w:rsid w:val="00655539"/>
    <w:rsid w:val="006655F5"/>
    <w:rsid w:val="0067056C"/>
    <w:rsid w:val="00672804"/>
    <w:rsid w:val="00687594"/>
    <w:rsid w:val="0069021A"/>
    <w:rsid w:val="006A4BC4"/>
    <w:rsid w:val="006D6A5A"/>
    <w:rsid w:val="006E05AB"/>
    <w:rsid w:val="006F3BEA"/>
    <w:rsid w:val="006F3CBA"/>
    <w:rsid w:val="007028B9"/>
    <w:rsid w:val="00703406"/>
    <w:rsid w:val="007267BA"/>
    <w:rsid w:val="00744BCB"/>
    <w:rsid w:val="00765A1C"/>
    <w:rsid w:val="0077230C"/>
    <w:rsid w:val="00793800"/>
    <w:rsid w:val="007A1807"/>
    <w:rsid w:val="007B7F3A"/>
    <w:rsid w:val="007C7914"/>
    <w:rsid w:val="007E16F2"/>
    <w:rsid w:val="0080117D"/>
    <w:rsid w:val="008141EE"/>
    <w:rsid w:val="00832FFE"/>
    <w:rsid w:val="00842309"/>
    <w:rsid w:val="00854C2A"/>
    <w:rsid w:val="00863B9B"/>
    <w:rsid w:val="0087461A"/>
    <w:rsid w:val="00876868"/>
    <w:rsid w:val="0089590A"/>
    <w:rsid w:val="008C2681"/>
    <w:rsid w:val="008C4F3C"/>
    <w:rsid w:val="008C6CE0"/>
    <w:rsid w:val="008D6CE1"/>
    <w:rsid w:val="008E37EE"/>
    <w:rsid w:val="008E7F42"/>
    <w:rsid w:val="008F1438"/>
    <w:rsid w:val="008F32A5"/>
    <w:rsid w:val="00903158"/>
    <w:rsid w:val="00907C3E"/>
    <w:rsid w:val="0092636D"/>
    <w:rsid w:val="009275CD"/>
    <w:rsid w:val="00932796"/>
    <w:rsid w:val="00933025"/>
    <w:rsid w:val="00941E54"/>
    <w:rsid w:val="00944C7C"/>
    <w:rsid w:val="0095116F"/>
    <w:rsid w:val="009531AA"/>
    <w:rsid w:val="0098203F"/>
    <w:rsid w:val="00983940"/>
    <w:rsid w:val="009970DD"/>
    <w:rsid w:val="009A2180"/>
    <w:rsid w:val="009AE68E"/>
    <w:rsid w:val="009C6573"/>
    <w:rsid w:val="009E2A9C"/>
    <w:rsid w:val="009E59D0"/>
    <w:rsid w:val="009E5E3C"/>
    <w:rsid w:val="009E7743"/>
    <w:rsid w:val="009F14EF"/>
    <w:rsid w:val="009F4E2A"/>
    <w:rsid w:val="00A21C32"/>
    <w:rsid w:val="00A309F6"/>
    <w:rsid w:val="00A3462C"/>
    <w:rsid w:val="00A3489F"/>
    <w:rsid w:val="00A567CD"/>
    <w:rsid w:val="00A649F0"/>
    <w:rsid w:val="00A7087A"/>
    <w:rsid w:val="00A829FB"/>
    <w:rsid w:val="00A84D15"/>
    <w:rsid w:val="00A97A65"/>
    <w:rsid w:val="00AA5741"/>
    <w:rsid w:val="00AA65C4"/>
    <w:rsid w:val="00AA716A"/>
    <w:rsid w:val="00AC0886"/>
    <w:rsid w:val="00AC29FA"/>
    <w:rsid w:val="00AC3097"/>
    <w:rsid w:val="00AD6B46"/>
    <w:rsid w:val="00AE6841"/>
    <w:rsid w:val="00AF0D4B"/>
    <w:rsid w:val="00B04B2C"/>
    <w:rsid w:val="00B12871"/>
    <w:rsid w:val="00B16695"/>
    <w:rsid w:val="00B25994"/>
    <w:rsid w:val="00B41872"/>
    <w:rsid w:val="00B4658A"/>
    <w:rsid w:val="00B46B8E"/>
    <w:rsid w:val="00B47F09"/>
    <w:rsid w:val="00B52285"/>
    <w:rsid w:val="00B557BD"/>
    <w:rsid w:val="00B63636"/>
    <w:rsid w:val="00B77BB5"/>
    <w:rsid w:val="00B85601"/>
    <w:rsid w:val="00B87E5D"/>
    <w:rsid w:val="00B94773"/>
    <w:rsid w:val="00B96599"/>
    <w:rsid w:val="00BA1D11"/>
    <w:rsid w:val="00BA4C68"/>
    <w:rsid w:val="00BB6801"/>
    <w:rsid w:val="00BC28FF"/>
    <w:rsid w:val="00BC34C6"/>
    <w:rsid w:val="00BC3E65"/>
    <w:rsid w:val="00BE08D3"/>
    <w:rsid w:val="00BE3289"/>
    <w:rsid w:val="00BE5036"/>
    <w:rsid w:val="00C02B69"/>
    <w:rsid w:val="00C03528"/>
    <w:rsid w:val="00C0562E"/>
    <w:rsid w:val="00C11A6A"/>
    <w:rsid w:val="00C17684"/>
    <w:rsid w:val="00C17B16"/>
    <w:rsid w:val="00C3134A"/>
    <w:rsid w:val="00C31554"/>
    <w:rsid w:val="00C330D5"/>
    <w:rsid w:val="00C340F3"/>
    <w:rsid w:val="00C350F7"/>
    <w:rsid w:val="00C3636A"/>
    <w:rsid w:val="00C402FF"/>
    <w:rsid w:val="00C42A66"/>
    <w:rsid w:val="00C42D8A"/>
    <w:rsid w:val="00C46343"/>
    <w:rsid w:val="00C518B2"/>
    <w:rsid w:val="00C5260D"/>
    <w:rsid w:val="00C57DF7"/>
    <w:rsid w:val="00C60996"/>
    <w:rsid w:val="00C723D8"/>
    <w:rsid w:val="00C768FB"/>
    <w:rsid w:val="00C8329D"/>
    <w:rsid w:val="00C847BD"/>
    <w:rsid w:val="00C97AEF"/>
    <w:rsid w:val="00CA0D68"/>
    <w:rsid w:val="00CB6B3D"/>
    <w:rsid w:val="00CB7618"/>
    <w:rsid w:val="00CC0784"/>
    <w:rsid w:val="00CC0BFA"/>
    <w:rsid w:val="00CC2B30"/>
    <w:rsid w:val="00CC681F"/>
    <w:rsid w:val="00CD6951"/>
    <w:rsid w:val="00CF2384"/>
    <w:rsid w:val="00D115BA"/>
    <w:rsid w:val="00D176D5"/>
    <w:rsid w:val="00D269B0"/>
    <w:rsid w:val="00D30D39"/>
    <w:rsid w:val="00D359AA"/>
    <w:rsid w:val="00D40124"/>
    <w:rsid w:val="00D46500"/>
    <w:rsid w:val="00D53BA4"/>
    <w:rsid w:val="00D545D3"/>
    <w:rsid w:val="00D63A50"/>
    <w:rsid w:val="00D71F5B"/>
    <w:rsid w:val="00D73E14"/>
    <w:rsid w:val="00D7679C"/>
    <w:rsid w:val="00D81820"/>
    <w:rsid w:val="00D81C9E"/>
    <w:rsid w:val="00D95F20"/>
    <w:rsid w:val="00DB240D"/>
    <w:rsid w:val="00DB295E"/>
    <w:rsid w:val="00DB6E75"/>
    <w:rsid w:val="00DC674A"/>
    <w:rsid w:val="00DE4217"/>
    <w:rsid w:val="00DF6620"/>
    <w:rsid w:val="00E01A33"/>
    <w:rsid w:val="00E13CD9"/>
    <w:rsid w:val="00E23E9E"/>
    <w:rsid w:val="00E27F77"/>
    <w:rsid w:val="00E35057"/>
    <w:rsid w:val="00E42C36"/>
    <w:rsid w:val="00E43F04"/>
    <w:rsid w:val="00E474F8"/>
    <w:rsid w:val="00E67D4C"/>
    <w:rsid w:val="00E910FE"/>
    <w:rsid w:val="00E929B5"/>
    <w:rsid w:val="00E970A9"/>
    <w:rsid w:val="00EA1524"/>
    <w:rsid w:val="00EA4280"/>
    <w:rsid w:val="00EC166B"/>
    <w:rsid w:val="00EE6100"/>
    <w:rsid w:val="00EF370B"/>
    <w:rsid w:val="00EF5DF2"/>
    <w:rsid w:val="00F03975"/>
    <w:rsid w:val="00F05A70"/>
    <w:rsid w:val="00F0B37B"/>
    <w:rsid w:val="00F132BA"/>
    <w:rsid w:val="00F24D69"/>
    <w:rsid w:val="00F5089F"/>
    <w:rsid w:val="00F52CAF"/>
    <w:rsid w:val="00F711F4"/>
    <w:rsid w:val="00F84220"/>
    <w:rsid w:val="00F84944"/>
    <w:rsid w:val="00F934EF"/>
    <w:rsid w:val="00FA3DF4"/>
    <w:rsid w:val="00FA650B"/>
    <w:rsid w:val="00FA6B61"/>
    <w:rsid w:val="00FB78F5"/>
    <w:rsid w:val="00FE141A"/>
    <w:rsid w:val="00FE1BF1"/>
    <w:rsid w:val="00FF2101"/>
    <w:rsid w:val="017BD049"/>
    <w:rsid w:val="02B95603"/>
    <w:rsid w:val="04E4DF79"/>
    <w:rsid w:val="07CE96E7"/>
    <w:rsid w:val="07ED948D"/>
    <w:rsid w:val="10A69460"/>
    <w:rsid w:val="120B9A60"/>
    <w:rsid w:val="18F352E5"/>
    <w:rsid w:val="1A562CB1"/>
    <w:rsid w:val="20DD6A2A"/>
    <w:rsid w:val="2189FEC8"/>
    <w:rsid w:val="28E9DB16"/>
    <w:rsid w:val="29AE398B"/>
    <w:rsid w:val="2A9E46F4"/>
    <w:rsid w:val="2AAC498A"/>
    <w:rsid w:val="2D664809"/>
    <w:rsid w:val="35C27E24"/>
    <w:rsid w:val="3967DBB7"/>
    <w:rsid w:val="3C64CFF5"/>
    <w:rsid w:val="42DA200E"/>
    <w:rsid w:val="45ABCF41"/>
    <w:rsid w:val="4622763D"/>
    <w:rsid w:val="47101CAA"/>
    <w:rsid w:val="471653FE"/>
    <w:rsid w:val="47E4EAE9"/>
    <w:rsid w:val="4847E8DF"/>
    <w:rsid w:val="4D6BB464"/>
    <w:rsid w:val="4E5DF9A8"/>
    <w:rsid w:val="4EFAD958"/>
    <w:rsid w:val="52FD75AA"/>
    <w:rsid w:val="568FE651"/>
    <w:rsid w:val="579F5E9D"/>
    <w:rsid w:val="5944A95D"/>
    <w:rsid w:val="59A882F2"/>
    <w:rsid w:val="5A92E686"/>
    <w:rsid w:val="5BA510C7"/>
    <w:rsid w:val="5BE64794"/>
    <w:rsid w:val="5C3D4E3B"/>
    <w:rsid w:val="5CAF27C5"/>
    <w:rsid w:val="632E5050"/>
    <w:rsid w:val="69A09DDD"/>
    <w:rsid w:val="69F08B59"/>
    <w:rsid w:val="6E8864EC"/>
    <w:rsid w:val="71BD9BD3"/>
    <w:rsid w:val="71E979B9"/>
    <w:rsid w:val="734A4387"/>
    <w:rsid w:val="786B5BAF"/>
    <w:rsid w:val="795033FD"/>
    <w:rsid w:val="79BC4792"/>
    <w:rsid w:val="7A3DF7C3"/>
    <w:rsid w:val="7F2FD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9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801"/>
    <w:pPr>
      <w:widowControl w:val="0"/>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B6801"/>
    <w:rPr>
      <w:b/>
      <w:bCs/>
    </w:rPr>
  </w:style>
  <w:style w:type="character" w:customStyle="1" w:styleId="apple-converted-space">
    <w:name w:val="apple-converted-space"/>
    <w:basedOn w:val="DefaultParagraphFont"/>
    <w:rsid w:val="00BB6801"/>
  </w:style>
  <w:style w:type="paragraph" w:styleId="NormalWeb">
    <w:name w:val="Normal (Web)"/>
    <w:basedOn w:val="Normal"/>
    <w:uiPriority w:val="99"/>
    <w:semiHidden/>
    <w:unhideWhenUsed/>
    <w:rsid w:val="00BB68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A8C"/>
    <w:rPr>
      <w:sz w:val="16"/>
      <w:szCs w:val="16"/>
    </w:rPr>
  </w:style>
  <w:style w:type="paragraph" w:styleId="CommentText">
    <w:name w:val="annotation text"/>
    <w:basedOn w:val="Normal"/>
    <w:link w:val="CommentTextChar"/>
    <w:uiPriority w:val="99"/>
    <w:semiHidden/>
    <w:unhideWhenUsed/>
    <w:rsid w:val="001E5A8C"/>
    <w:pPr>
      <w:spacing w:line="240" w:lineRule="auto"/>
    </w:pPr>
    <w:rPr>
      <w:sz w:val="20"/>
      <w:szCs w:val="20"/>
    </w:rPr>
  </w:style>
  <w:style w:type="character" w:customStyle="1" w:styleId="CommentTextChar">
    <w:name w:val="Comment Text Char"/>
    <w:basedOn w:val="DefaultParagraphFont"/>
    <w:link w:val="CommentText"/>
    <w:uiPriority w:val="99"/>
    <w:semiHidden/>
    <w:rsid w:val="001E5A8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5A8C"/>
    <w:rPr>
      <w:b/>
      <w:bCs/>
    </w:rPr>
  </w:style>
  <w:style w:type="character" w:customStyle="1" w:styleId="CommentSubjectChar">
    <w:name w:val="Comment Subject Char"/>
    <w:basedOn w:val="CommentTextChar"/>
    <w:link w:val="CommentSubject"/>
    <w:uiPriority w:val="99"/>
    <w:semiHidden/>
    <w:rsid w:val="001E5A8C"/>
    <w:rPr>
      <w:rFonts w:eastAsiaTheme="minorEastAsia"/>
      <w:b/>
      <w:bCs/>
      <w:sz w:val="20"/>
      <w:szCs w:val="20"/>
    </w:rPr>
  </w:style>
  <w:style w:type="paragraph" w:styleId="BalloonText">
    <w:name w:val="Balloon Text"/>
    <w:basedOn w:val="Normal"/>
    <w:link w:val="BalloonTextChar"/>
    <w:uiPriority w:val="99"/>
    <w:semiHidden/>
    <w:unhideWhenUsed/>
    <w:rsid w:val="001E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8C"/>
    <w:rPr>
      <w:rFonts w:ascii="Tahoma" w:eastAsiaTheme="minorEastAsia" w:hAnsi="Tahoma" w:cs="Tahoma"/>
      <w:sz w:val="16"/>
      <w:szCs w:val="16"/>
    </w:rPr>
  </w:style>
  <w:style w:type="table" w:styleId="TableGrid">
    <w:name w:val="Table Grid"/>
    <w:basedOn w:val="TableNormal"/>
    <w:uiPriority w:val="59"/>
    <w:rsid w:val="0031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B2"/>
    <w:pPr>
      <w:ind w:left="720"/>
      <w:contextualSpacing/>
    </w:pPr>
  </w:style>
  <w:style w:type="character" w:styleId="Hyperlink">
    <w:name w:val="Hyperlink"/>
    <w:basedOn w:val="DefaultParagraphFont"/>
    <w:uiPriority w:val="99"/>
    <w:unhideWhenUsed/>
    <w:rsid w:val="00DB240D"/>
    <w:rPr>
      <w:color w:val="0000FF" w:themeColor="hyperlink"/>
      <w:u w:val="single"/>
    </w:rPr>
  </w:style>
  <w:style w:type="character" w:styleId="FollowedHyperlink">
    <w:name w:val="FollowedHyperlink"/>
    <w:basedOn w:val="DefaultParagraphFont"/>
    <w:uiPriority w:val="99"/>
    <w:semiHidden/>
    <w:unhideWhenUsed/>
    <w:rsid w:val="00932796"/>
    <w:rPr>
      <w:color w:val="800080" w:themeColor="followedHyperlink"/>
      <w:u w:val="single"/>
    </w:rPr>
  </w:style>
  <w:style w:type="paragraph" w:customStyle="1" w:styleId="EndNoteBibliographyTitle">
    <w:name w:val="EndNote Bibliography Title"/>
    <w:basedOn w:val="Normal"/>
    <w:link w:val="EndNoteBibliographyTitleChar"/>
    <w:rsid w:val="00AC29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C29FA"/>
    <w:rPr>
      <w:rFonts w:ascii="Calibri" w:hAnsi="Calibri"/>
      <w:noProof/>
    </w:rPr>
  </w:style>
  <w:style w:type="paragraph" w:customStyle="1" w:styleId="EndNoteBibliography">
    <w:name w:val="EndNote Bibliography"/>
    <w:basedOn w:val="Normal"/>
    <w:link w:val="EndNoteBibliographyChar"/>
    <w:rsid w:val="00AC29FA"/>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AC29FA"/>
    <w:rPr>
      <w:rFonts w:ascii="Calibri" w:hAnsi="Calibri"/>
      <w:noProof/>
    </w:rPr>
  </w:style>
  <w:style w:type="table" w:customStyle="1" w:styleId="TableGrid1">
    <w:name w:val="Table Grid1"/>
    <w:basedOn w:val="TableNormal"/>
    <w:next w:val="TableGrid"/>
    <w:uiPriority w:val="59"/>
    <w:rsid w:val="006F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801"/>
    <w:pPr>
      <w:widowControl w:val="0"/>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B6801"/>
    <w:rPr>
      <w:b/>
      <w:bCs/>
    </w:rPr>
  </w:style>
  <w:style w:type="character" w:customStyle="1" w:styleId="apple-converted-space">
    <w:name w:val="apple-converted-space"/>
    <w:basedOn w:val="DefaultParagraphFont"/>
    <w:rsid w:val="00BB6801"/>
  </w:style>
  <w:style w:type="paragraph" w:styleId="NormalWeb">
    <w:name w:val="Normal (Web)"/>
    <w:basedOn w:val="Normal"/>
    <w:uiPriority w:val="99"/>
    <w:semiHidden/>
    <w:unhideWhenUsed/>
    <w:rsid w:val="00BB68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5A8C"/>
    <w:rPr>
      <w:sz w:val="16"/>
      <w:szCs w:val="16"/>
    </w:rPr>
  </w:style>
  <w:style w:type="paragraph" w:styleId="CommentText">
    <w:name w:val="annotation text"/>
    <w:basedOn w:val="Normal"/>
    <w:link w:val="CommentTextChar"/>
    <w:uiPriority w:val="99"/>
    <w:semiHidden/>
    <w:unhideWhenUsed/>
    <w:rsid w:val="001E5A8C"/>
    <w:pPr>
      <w:spacing w:line="240" w:lineRule="auto"/>
    </w:pPr>
    <w:rPr>
      <w:sz w:val="20"/>
      <w:szCs w:val="20"/>
    </w:rPr>
  </w:style>
  <w:style w:type="character" w:customStyle="1" w:styleId="CommentTextChar">
    <w:name w:val="Comment Text Char"/>
    <w:basedOn w:val="DefaultParagraphFont"/>
    <w:link w:val="CommentText"/>
    <w:uiPriority w:val="99"/>
    <w:semiHidden/>
    <w:rsid w:val="001E5A8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5A8C"/>
    <w:rPr>
      <w:b/>
      <w:bCs/>
    </w:rPr>
  </w:style>
  <w:style w:type="character" w:customStyle="1" w:styleId="CommentSubjectChar">
    <w:name w:val="Comment Subject Char"/>
    <w:basedOn w:val="CommentTextChar"/>
    <w:link w:val="CommentSubject"/>
    <w:uiPriority w:val="99"/>
    <w:semiHidden/>
    <w:rsid w:val="001E5A8C"/>
    <w:rPr>
      <w:rFonts w:eastAsiaTheme="minorEastAsia"/>
      <w:b/>
      <w:bCs/>
      <w:sz w:val="20"/>
      <w:szCs w:val="20"/>
    </w:rPr>
  </w:style>
  <w:style w:type="paragraph" w:styleId="BalloonText">
    <w:name w:val="Balloon Text"/>
    <w:basedOn w:val="Normal"/>
    <w:link w:val="BalloonTextChar"/>
    <w:uiPriority w:val="99"/>
    <w:semiHidden/>
    <w:unhideWhenUsed/>
    <w:rsid w:val="001E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A8C"/>
    <w:rPr>
      <w:rFonts w:ascii="Tahoma" w:eastAsiaTheme="minorEastAsia" w:hAnsi="Tahoma" w:cs="Tahoma"/>
      <w:sz w:val="16"/>
      <w:szCs w:val="16"/>
    </w:rPr>
  </w:style>
  <w:style w:type="table" w:styleId="TableGrid">
    <w:name w:val="Table Grid"/>
    <w:basedOn w:val="TableNormal"/>
    <w:uiPriority w:val="59"/>
    <w:rsid w:val="0031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B2"/>
    <w:pPr>
      <w:ind w:left="720"/>
      <w:contextualSpacing/>
    </w:pPr>
  </w:style>
  <w:style w:type="character" w:styleId="Hyperlink">
    <w:name w:val="Hyperlink"/>
    <w:basedOn w:val="DefaultParagraphFont"/>
    <w:uiPriority w:val="99"/>
    <w:unhideWhenUsed/>
    <w:rsid w:val="00DB240D"/>
    <w:rPr>
      <w:color w:val="0000FF" w:themeColor="hyperlink"/>
      <w:u w:val="single"/>
    </w:rPr>
  </w:style>
  <w:style w:type="character" w:styleId="FollowedHyperlink">
    <w:name w:val="FollowedHyperlink"/>
    <w:basedOn w:val="DefaultParagraphFont"/>
    <w:uiPriority w:val="99"/>
    <w:semiHidden/>
    <w:unhideWhenUsed/>
    <w:rsid w:val="00932796"/>
    <w:rPr>
      <w:color w:val="800080" w:themeColor="followedHyperlink"/>
      <w:u w:val="single"/>
    </w:rPr>
  </w:style>
  <w:style w:type="paragraph" w:customStyle="1" w:styleId="EndNoteBibliographyTitle">
    <w:name w:val="EndNote Bibliography Title"/>
    <w:basedOn w:val="Normal"/>
    <w:link w:val="EndNoteBibliographyTitleChar"/>
    <w:rsid w:val="00AC29F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C29FA"/>
    <w:rPr>
      <w:rFonts w:ascii="Calibri" w:hAnsi="Calibri"/>
      <w:noProof/>
    </w:rPr>
  </w:style>
  <w:style w:type="paragraph" w:customStyle="1" w:styleId="EndNoteBibliography">
    <w:name w:val="EndNote Bibliography"/>
    <w:basedOn w:val="Normal"/>
    <w:link w:val="EndNoteBibliographyChar"/>
    <w:rsid w:val="00AC29FA"/>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AC29FA"/>
    <w:rPr>
      <w:rFonts w:ascii="Calibri" w:hAnsi="Calibri"/>
      <w:noProof/>
    </w:rPr>
  </w:style>
  <w:style w:type="table" w:customStyle="1" w:styleId="TableGrid1">
    <w:name w:val="Table Grid1"/>
    <w:basedOn w:val="TableNormal"/>
    <w:next w:val="TableGrid"/>
    <w:uiPriority w:val="59"/>
    <w:rsid w:val="006F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081">
      <w:bodyDiv w:val="1"/>
      <w:marLeft w:val="0"/>
      <w:marRight w:val="0"/>
      <w:marTop w:val="0"/>
      <w:marBottom w:val="0"/>
      <w:divBdr>
        <w:top w:val="none" w:sz="0" w:space="0" w:color="auto"/>
        <w:left w:val="none" w:sz="0" w:space="0" w:color="auto"/>
        <w:bottom w:val="none" w:sz="0" w:space="0" w:color="auto"/>
        <w:right w:val="none" w:sz="0" w:space="0" w:color="auto"/>
      </w:divBdr>
    </w:div>
    <w:div w:id="317611031">
      <w:bodyDiv w:val="1"/>
      <w:marLeft w:val="0"/>
      <w:marRight w:val="0"/>
      <w:marTop w:val="0"/>
      <w:marBottom w:val="0"/>
      <w:divBdr>
        <w:top w:val="none" w:sz="0" w:space="0" w:color="auto"/>
        <w:left w:val="none" w:sz="0" w:space="0" w:color="auto"/>
        <w:bottom w:val="none" w:sz="0" w:space="0" w:color="auto"/>
        <w:right w:val="none" w:sz="0" w:space="0" w:color="auto"/>
      </w:divBdr>
    </w:div>
    <w:div w:id="330648335">
      <w:bodyDiv w:val="1"/>
      <w:marLeft w:val="0"/>
      <w:marRight w:val="0"/>
      <w:marTop w:val="0"/>
      <w:marBottom w:val="0"/>
      <w:divBdr>
        <w:top w:val="none" w:sz="0" w:space="0" w:color="auto"/>
        <w:left w:val="none" w:sz="0" w:space="0" w:color="auto"/>
        <w:bottom w:val="none" w:sz="0" w:space="0" w:color="auto"/>
        <w:right w:val="none" w:sz="0" w:space="0" w:color="auto"/>
      </w:divBdr>
    </w:div>
    <w:div w:id="547569783">
      <w:bodyDiv w:val="1"/>
      <w:marLeft w:val="0"/>
      <w:marRight w:val="0"/>
      <w:marTop w:val="0"/>
      <w:marBottom w:val="0"/>
      <w:divBdr>
        <w:top w:val="none" w:sz="0" w:space="0" w:color="auto"/>
        <w:left w:val="none" w:sz="0" w:space="0" w:color="auto"/>
        <w:bottom w:val="none" w:sz="0" w:space="0" w:color="auto"/>
        <w:right w:val="none" w:sz="0" w:space="0" w:color="auto"/>
      </w:divBdr>
    </w:div>
    <w:div w:id="784497913">
      <w:bodyDiv w:val="1"/>
      <w:marLeft w:val="0"/>
      <w:marRight w:val="0"/>
      <w:marTop w:val="0"/>
      <w:marBottom w:val="0"/>
      <w:divBdr>
        <w:top w:val="none" w:sz="0" w:space="0" w:color="auto"/>
        <w:left w:val="none" w:sz="0" w:space="0" w:color="auto"/>
        <w:bottom w:val="none" w:sz="0" w:space="0" w:color="auto"/>
        <w:right w:val="none" w:sz="0" w:space="0" w:color="auto"/>
      </w:divBdr>
    </w:div>
    <w:div w:id="843858817">
      <w:bodyDiv w:val="1"/>
      <w:marLeft w:val="0"/>
      <w:marRight w:val="0"/>
      <w:marTop w:val="0"/>
      <w:marBottom w:val="0"/>
      <w:divBdr>
        <w:top w:val="none" w:sz="0" w:space="0" w:color="auto"/>
        <w:left w:val="none" w:sz="0" w:space="0" w:color="auto"/>
        <w:bottom w:val="none" w:sz="0" w:space="0" w:color="auto"/>
        <w:right w:val="none" w:sz="0" w:space="0" w:color="auto"/>
      </w:divBdr>
    </w:div>
    <w:div w:id="873464527">
      <w:bodyDiv w:val="1"/>
      <w:marLeft w:val="0"/>
      <w:marRight w:val="0"/>
      <w:marTop w:val="0"/>
      <w:marBottom w:val="0"/>
      <w:divBdr>
        <w:top w:val="none" w:sz="0" w:space="0" w:color="auto"/>
        <w:left w:val="none" w:sz="0" w:space="0" w:color="auto"/>
        <w:bottom w:val="none" w:sz="0" w:space="0" w:color="auto"/>
        <w:right w:val="none" w:sz="0" w:space="0" w:color="auto"/>
      </w:divBdr>
      <w:divsChild>
        <w:div w:id="234820209">
          <w:marLeft w:val="0"/>
          <w:marRight w:val="0"/>
          <w:marTop w:val="0"/>
          <w:marBottom w:val="0"/>
          <w:divBdr>
            <w:top w:val="none" w:sz="0" w:space="0" w:color="auto"/>
            <w:left w:val="none" w:sz="0" w:space="0" w:color="auto"/>
            <w:bottom w:val="none" w:sz="0" w:space="0" w:color="auto"/>
            <w:right w:val="none" w:sz="0" w:space="0" w:color="auto"/>
          </w:divBdr>
        </w:div>
        <w:div w:id="2096971292">
          <w:marLeft w:val="0"/>
          <w:marRight w:val="0"/>
          <w:marTop w:val="0"/>
          <w:marBottom w:val="0"/>
          <w:divBdr>
            <w:top w:val="none" w:sz="0" w:space="0" w:color="auto"/>
            <w:left w:val="none" w:sz="0" w:space="0" w:color="auto"/>
            <w:bottom w:val="none" w:sz="0" w:space="0" w:color="auto"/>
            <w:right w:val="none" w:sz="0" w:space="0" w:color="auto"/>
          </w:divBdr>
        </w:div>
        <w:div w:id="1425759495">
          <w:marLeft w:val="0"/>
          <w:marRight w:val="0"/>
          <w:marTop w:val="0"/>
          <w:marBottom w:val="0"/>
          <w:divBdr>
            <w:top w:val="none" w:sz="0" w:space="0" w:color="auto"/>
            <w:left w:val="none" w:sz="0" w:space="0" w:color="auto"/>
            <w:bottom w:val="none" w:sz="0" w:space="0" w:color="auto"/>
            <w:right w:val="none" w:sz="0" w:space="0" w:color="auto"/>
          </w:divBdr>
        </w:div>
        <w:div w:id="1850095902">
          <w:marLeft w:val="0"/>
          <w:marRight w:val="0"/>
          <w:marTop w:val="0"/>
          <w:marBottom w:val="0"/>
          <w:divBdr>
            <w:top w:val="none" w:sz="0" w:space="0" w:color="auto"/>
            <w:left w:val="none" w:sz="0" w:space="0" w:color="auto"/>
            <w:bottom w:val="none" w:sz="0" w:space="0" w:color="auto"/>
            <w:right w:val="none" w:sz="0" w:space="0" w:color="auto"/>
          </w:divBdr>
        </w:div>
        <w:div w:id="1444107665">
          <w:marLeft w:val="0"/>
          <w:marRight w:val="0"/>
          <w:marTop w:val="0"/>
          <w:marBottom w:val="0"/>
          <w:divBdr>
            <w:top w:val="none" w:sz="0" w:space="0" w:color="auto"/>
            <w:left w:val="none" w:sz="0" w:space="0" w:color="auto"/>
            <w:bottom w:val="none" w:sz="0" w:space="0" w:color="auto"/>
            <w:right w:val="none" w:sz="0" w:space="0" w:color="auto"/>
          </w:divBdr>
        </w:div>
        <w:div w:id="786313280">
          <w:marLeft w:val="0"/>
          <w:marRight w:val="0"/>
          <w:marTop w:val="0"/>
          <w:marBottom w:val="0"/>
          <w:divBdr>
            <w:top w:val="none" w:sz="0" w:space="0" w:color="auto"/>
            <w:left w:val="none" w:sz="0" w:space="0" w:color="auto"/>
            <w:bottom w:val="none" w:sz="0" w:space="0" w:color="auto"/>
            <w:right w:val="none" w:sz="0" w:space="0" w:color="auto"/>
          </w:divBdr>
        </w:div>
        <w:div w:id="492376624">
          <w:marLeft w:val="0"/>
          <w:marRight w:val="0"/>
          <w:marTop w:val="0"/>
          <w:marBottom w:val="0"/>
          <w:divBdr>
            <w:top w:val="none" w:sz="0" w:space="0" w:color="auto"/>
            <w:left w:val="none" w:sz="0" w:space="0" w:color="auto"/>
            <w:bottom w:val="none" w:sz="0" w:space="0" w:color="auto"/>
            <w:right w:val="none" w:sz="0" w:space="0" w:color="auto"/>
          </w:divBdr>
        </w:div>
        <w:div w:id="1196118415">
          <w:marLeft w:val="0"/>
          <w:marRight w:val="0"/>
          <w:marTop w:val="0"/>
          <w:marBottom w:val="0"/>
          <w:divBdr>
            <w:top w:val="none" w:sz="0" w:space="0" w:color="auto"/>
            <w:left w:val="none" w:sz="0" w:space="0" w:color="auto"/>
            <w:bottom w:val="none" w:sz="0" w:space="0" w:color="auto"/>
            <w:right w:val="none" w:sz="0" w:space="0" w:color="auto"/>
          </w:divBdr>
        </w:div>
        <w:div w:id="1917400701">
          <w:marLeft w:val="0"/>
          <w:marRight w:val="0"/>
          <w:marTop w:val="0"/>
          <w:marBottom w:val="0"/>
          <w:divBdr>
            <w:top w:val="none" w:sz="0" w:space="0" w:color="auto"/>
            <w:left w:val="none" w:sz="0" w:space="0" w:color="auto"/>
            <w:bottom w:val="none" w:sz="0" w:space="0" w:color="auto"/>
            <w:right w:val="none" w:sz="0" w:space="0" w:color="auto"/>
          </w:divBdr>
        </w:div>
        <w:div w:id="2026981170">
          <w:marLeft w:val="0"/>
          <w:marRight w:val="0"/>
          <w:marTop w:val="0"/>
          <w:marBottom w:val="0"/>
          <w:divBdr>
            <w:top w:val="none" w:sz="0" w:space="0" w:color="auto"/>
            <w:left w:val="none" w:sz="0" w:space="0" w:color="auto"/>
            <w:bottom w:val="none" w:sz="0" w:space="0" w:color="auto"/>
            <w:right w:val="none" w:sz="0" w:space="0" w:color="auto"/>
          </w:divBdr>
        </w:div>
        <w:div w:id="1455293150">
          <w:marLeft w:val="0"/>
          <w:marRight w:val="0"/>
          <w:marTop w:val="0"/>
          <w:marBottom w:val="0"/>
          <w:divBdr>
            <w:top w:val="none" w:sz="0" w:space="0" w:color="auto"/>
            <w:left w:val="none" w:sz="0" w:space="0" w:color="auto"/>
            <w:bottom w:val="none" w:sz="0" w:space="0" w:color="auto"/>
            <w:right w:val="none" w:sz="0" w:space="0" w:color="auto"/>
          </w:divBdr>
        </w:div>
        <w:div w:id="29234154">
          <w:marLeft w:val="0"/>
          <w:marRight w:val="0"/>
          <w:marTop w:val="0"/>
          <w:marBottom w:val="0"/>
          <w:divBdr>
            <w:top w:val="none" w:sz="0" w:space="0" w:color="auto"/>
            <w:left w:val="none" w:sz="0" w:space="0" w:color="auto"/>
            <w:bottom w:val="none" w:sz="0" w:space="0" w:color="auto"/>
            <w:right w:val="none" w:sz="0" w:space="0" w:color="auto"/>
          </w:divBdr>
        </w:div>
        <w:div w:id="2032603666">
          <w:marLeft w:val="0"/>
          <w:marRight w:val="0"/>
          <w:marTop w:val="0"/>
          <w:marBottom w:val="0"/>
          <w:divBdr>
            <w:top w:val="none" w:sz="0" w:space="0" w:color="auto"/>
            <w:left w:val="none" w:sz="0" w:space="0" w:color="auto"/>
            <w:bottom w:val="none" w:sz="0" w:space="0" w:color="auto"/>
            <w:right w:val="none" w:sz="0" w:space="0" w:color="auto"/>
          </w:divBdr>
        </w:div>
        <w:div w:id="1132404113">
          <w:marLeft w:val="0"/>
          <w:marRight w:val="0"/>
          <w:marTop w:val="0"/>
          <w:marBottom w:val="0"/>
          <w:divBdr>
            <w:top w:val="none" w:sz="0" w:space="0" w:color="auto"/>
            <w:left w:val="none" w:sz="0" w:space="0" w:color="auto"/>
            <w:bottom w:val="none" w:sz="0" w:space="0" w:color="auto"/>
            <w:right w:val="none" w:sz="0" w:space="0" w:color="auto"/>
          </w:divBdr>
        </w:div>
        <w:div w:id="1615597974">
          <w:marLeft w:val="0"/>
          <w:marRight w:val="0"/>
          <w:marTop w:val="0"/>
          <w:marBottom w:val="0"/>
          <w:divBdr>
            <w:top w:val="none" w:sz="0" w:space="0" w:color="auto"/>
            <w:left w:val="none" w:sz="0" w:space="0" w:color="auto"/>
            <w:bottom w:val="none" w:sz="0" w:space="0" w:color="auto"/>
            <w:right w:val="none" w:sz="0" w:space="0" w:color="auto"/>
          </w:divBdr>
        </w:div>
        <w:div w:id="937179842">
          <w:marLeft w:val="0"/>
          <w:marRight w:val="0"/>
          <w:marTop w:val="0"/>
          <w:marBottom w:val="0"/>
          <w:divBdr>
            <w:top w:val="none" w:sz="0" w:space="0" w:color="auto"/>
            <w:left w:val="none" w:sz="0" w:space="0" w:color="auto"/>
            <w:bottom w:val="none" w:sz="0" w:space="0" w:color="auto"/>
            <w:right w:val="none" w:sz="0" w:space="0" w:color="auto"/>
          </w:divBdr>
        </w:div>
        <w:div w:id="1191339810">
          <w:marLeft w:val="0"/>
          <w:marRight w:val="0"/>
          <w:marTop w:val="0"/>
          <w:marBottom w:val="0"/>
          <w:divBdr>
            <w:top w:val="none" w:sz="0" w:space="0" w:color="auto"/>
            <w:left w:val="none" w:sz="0" w:space="0" w:color="auto"/>
            <w:bottom w:val="none" w:sz="0" w:space="0" w:color="auto"/>
            <w:right w:val="none" w:sz="0" w:space="0" w:color="auto"/>
          </w:divBdr>
        </w:div>
        <w:div w:id="977420237">
          <w:marLeft w:val="0"/>
          <w:marRight w:val="0"/>
          <w:marTop w:val="0"/>
          <w:marBottom w:val="0"/>
          <w:divBdr>
            <w:top w:val="none" w:sz="0" w:space="0" w:color="auto"/>
            <w:left w:val="none" w:sz="0" w:space="0" w:color="auto"/>
            <w:bottom w:val="none" w:sz="0" w:space="0" w:color="auto"/>
            <w:right w:val="none" w:sz="0" w:space="0" w:color="auto"/>
          </w:divBdr>
        </w:div>
      </w:divsChild>
    </w:div>
    <w:div w:id="878711663">
      <w:bodyDiv w:val="1"/>
      <w:marLeft w:val="0"/>
      <w:marRight w:val="0"/>
      <w:marTop w:val="0"/>
      <w:marBottom w:val="0"/>
      <w:divBdr>
        <w:top w:val="none" w:sz="0" w:space="0" w:color="auto"/>
        <w:left w:val="none" w:sz="0" w:space="0" w:color="auto"/>
        <w:bottom w:val="none" w:sz="0" w:space="0" w:color="auto"/>
        <w:right w:val="none" w:sz="0" w:space="0" w:color="auto"/>
      </w:divBdr>
    </w:div>
    <w:div w:id="1140071956">
      <w:bodyDiv w:val="1"/>
      <w:marLeft w:val="0"/>
      <w:marRight w:val="0"/>
      <w:marTop w:val="0"/>
      <w:marBottom w:val="0"/>
      <w:divBdr>
        <w:top w:val="none" w:sz="0" w:space="0" w:color="auto"/>
        <w:left w:val="none" w:sz="0" w:space="0" w:color="auto"/>
        <w:bottom w:val="none" w:sz="0" w:space="0" w:color="auto"/>
        <w:right w:val="none" w:sz="0" w:space="0" w:color="auto"/>
      </w:divBdr>
      <w:divsChild>
        <w:div w:id="404037639">
          <w:marLeft w:val="144"/>
          <w:marRight w:val="0"/>
          <w:marTop w:val="240"/>
          <w:marBottom w:val="40"/>
          <w:divBdr>
            <w:top w:val="none" w:sz="0" w:space="0" w:color="auto"/>
            <w:left w:val="none" w:sz="0" w:space="0" w:color="auto"/>
            <w:bottom w:val="none" w:sz="0" w:space="0" w:color="auto"/>
            <w:right w:val="none" w:sz="0" w:space="0" w:color="auto"/>
          </w:divBdr>
        </w:div>
        <w:div w:id="1449743153">
          <w:marLeft w:val="144"/>
          <w:marRight w:val="0"/>
          <w:marTop w:val="240"/>
          <w:marBottom w:val="40"/>
          <w:divBdr>
            <w:top w:val="none" w:sz="0" w:space="0" w:color="auto"/>
            <w:left w:val="none" w:sz="0" w:space="0" w:color="auto"/>
            <w:bottom w:val="none" w:sz="0" w:space="0" w:color="auto"/>
            <w:right w:val="none" w:sz="0" w:space="0" w:color="auto"/>
          </w:divBdr>
        </w:div>
        <w:div w:id="1021321133">
          <w:marLeft w:val="144"/>
          <w:marRight w:val="0"/>
          <w:marTop w:val="240"/>
          <w:marBottom w:val="40"/>
          <w:divBdr>
            <w:top w:val="none" w:sz="0" w:space="0" w:color="auto"/>
            <w:left w:val="none" w:sz="0" w:space="0" w:color="auto"/>
            <w:bottom w:val="none" w:sz="0" w:space="0" w:color="auto"/>
            <w:right w:val="none" w:sz="0" w:space="0" w:color="auto"/>
          </w:divBdr>
        </w:div>
        <w:div w:id="363487630">
          <w:marLeft w:val="605"/>
          <w:marRight w:val="0"/>
          <w:marTop w:val="40"/>
          <w:marBottom w:val="80"/>
          <w:divBdr>
            <w:top w:val="none" w:sz="0" w:space="0" w:color="auto"/>
            <w:left w:val="none" w:sz="0" w:space="0" w:color="auto"/>
            <w:bottom w:val="none" w:sz="0" w:space="0" w:color="auto"/>
            <w:right w:val="none" w:sz="0" w:space="0" w:color="auto"/>
          </w:divBdr>
        </w:div>
        <w:div w:id="723992230">
          <w:marLeft w:val="605"/>
          <w:marRight w:val="0"/>
          <w:marTop w:val="40"/>
          <w:marBottom w:val="80"/>
          <w:divBdr>
            <w:top w:val="none" w:sz="0" w:space="0" w:color="auto"/>
            <w:left w:val="none" w:sz="0" w:space="0" w:color="auto"/>
            <w:bottom w:val="none" w:sz="0" w:space="0" w:color="auto"/>
            <w:right w:val="none" w:sz="0" w:space="0" w:color="auto"/>
          </w:divBdr>
        </w:div>
        <w:div w:id="1614053285">
          <w:marLeft w:val="144"/>
          <w:marRight w:val="0"/>
          <w:marTop w:val="240"/>
          <w:marBottom w:val="40"/>
          <w:divBdr>
            <w:top w:val="none" w:sz="0" w:space="0" w:color="auto"/>
            <w:left w:val="none" w:sz="0" w:space="0" w:color="auto"/>
            <w:bottom w:val="none" w:sz="0" w:space="0" w:color="auto"/>
            <w:right w:val="none" w:sz="0" w:space="0" w:color="auto"/>
          </w:divBdr>
        </w:div>
        <w:div w:id="551042091">
          <w:marLeft w:val="605"/>
          <w:marRight w:val="0"/>
          <w:marTop w:val="40"/>
          <w:marBottom w:val="80"/>
          <w:divBdr>
            <w:top w:val="none" w:sz="0" w:space="0" w:color="auto"/>
            <w:left w:val="none" w:sz="0" w:space="0" w:color="auto"/>
            <w:bottom w:val="none" w:sz="0" w:space="0" w:color="auto"/>
            <w:right w:val="none" w:sz="0" w:space="0" w:color="auto"/>
          </w:divBdr>
        </w:div>
        <w:div w:id="86049275">
          <w:marLeft w:val="144"/>
          <w:marRight w:val="0"/>
          <w:marTop w:val="240"/>
          <w:marBottom w:val="40"/>
          <w:divBdr>
            <w:top w:val="none" w:sz="0" w:space="0" w:color="auto"/>
            <w:left w:val="none" w:sz="0" w:space="0" w:color="auto"/>
            <w:bottom w:val="none" w:sz="0" w:space="0" w:color="auto"/>
            <w:right w:val="none" w:sz="0" w:space="0" w:color="auto"/>
          </w:divBdr>
        </w:div>
        <w:div w:id="506872794">
          <w:marLeft w:val="605"/>
          <w:marRight w:val="0"/>
          <w:marTop w:val="40"/>
          <w:marBottom w:val="80"/>
          <w:divBdr>
            <w:top w:val="none" w:sz="0" w:space="0" w:color="auto"/>
            <w:left w:val="none" w:sz="0" w:space="0" w:color="auto"/>
            <w:bottom w:val="none" w:sz="0" w:space="0" w:color="auto"/>
            <w:right w:val="none" w:sz="0" w:space="0" w:color="auto"/>
          </w:divBdr>
        </w:div>
        <w:div w:id="92240135">
          <w:marLeft w:val="605"/>
          <w:marRight w:val="0"/>
          <w:marTop w:val="40"/>
          <w:marBottom w:val="80"/>
          <w:divBdr>
            <w:top w:val="none" w:sz="0" w:space="0" w:color="auto"/>
            <w:left w:val="none" w:sz="0" w:space="0" w:color="auto"/>
            <w:bottom w:val="none" w:sz="0" w:space="0" w:color="auto"/>
            <w:right w:val="none" w:sz="0" w:space="0" w:color="auto"/>
          </w:divBdr>
        </w:div>
        <w:div w:id="1035155183">
          <w:marLeft w:val="605"/>
          <w:marRight w:val="0"/>
          <w:marTop w:val="40"/>
          <w:marBottom w:val="80"/>
          <w:divBdr>
            <w:top w:val="none" w:sz="0" w:space="0" w:color="auto"/>
            <w:left w:val="none" w:sz="0" w:space="0" w:color="auto"/>
            <w:bottom w:val="none" w:sz="0" w:space="0" w:color="auto"/>
            <w:right w:val="none" w:sz="0" w:space="0" w:color="auto"/>
          </w:divBdr>
        </w:div>
        <w:div w:id="1101726335">
          <w:marLeft w:val="144"/>
          <w:marRight w:val="0"/>
          <w:marTop w:val="240"/>
          <w:marBottom w:val="40"/>
          <w:divBdr>
            <w:top w:val="none" w:sz="0" w:space="0" w:color="auto"/>
            <w:left w:val="none" w:sz="0" w:space="0" w:color="auto"/>
            <w:bottom w:val="none" w:sz="0" w:space="0" w:color="auto"/>
            <w:right w:val="none" w:sz="0" w:space="0" w:color="auto"/>
          </w:divBdr>
        </w:div>
      </w:divsChild>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413888899">
      <w:bodyDiv w:val="1"/>
      <w:marLeft w:val="0"/>
      <w:marRight w:val="0"/>
      <w:marTop w:val="0"/>
      <w:marBottom w:val="0"/>
      <w:divBdr>
        <w:top w:val="none" w:sz="0" w:space="0" w:color="auto"/>
        <w:left w:val="none" w:sz="0" w:space="0" w:color="auto"/>
        <w:bottom w:val="none" w:sz="0" w:space="0" w:color="auto"/>
        <w:right w:val="none" w:sz="0" w:space="0" w:color="auto"/>
      </w:divBdr>
    </w:div>
    <w:div w:id="1482698837">
      <w:bodyDiv w:val="1"/>
      <w:marLeft w:val="0"/>
      <w:marRight w:val="0"/>
      <w:marTop w:val="0"/>
      <w:marBottom w:val="0"/>
      <w:divBdr>
        <w:top w:val="none" w:sz="0" w:space="0" w:color="auto"/>
        <w:left w:val="none" w:sz="0" w:space="0" w:color="auto"/>
        <w:bottom w:val="none" w:sz="0" w:space="0" w:color="auto"/>
        <w:right w:val="none" w:sz="0" w:space="0" w:color="auto"/>
      </w:divBdr>
      <w:divsChild>
        <w:div w:id="608241936">
          <w:marLeft w:val="0"/>
          <w:marRight w:val="0"/>
          <w:marTop w:val="0"/>
          <w:marBottom w:val="0"/>
          <w:divBdr>
            <w:top w:val="none" w:sz="0" w:space="0" w:color="auto"/>
            <w:left w:val="none" w:sz="0" w:space="0" w:color="auto"/>
            <w:bottom w:val="none" w:sz="0" w:space="0" w:color="auto"/>
            <w:right w:val="none" w:sz="0" w:space="0" w:color="auto"/>
          </w:divBdr>
        </w:div>
        <w:div w:id="580215955">
          <w:marLeft w:val="0"/>
          <w:marRight w:val="0"/>
          <w:marTop w:val="0"/>
          <w:marBottom w:val="0"/>
          <w:divBdr>
            <w:top w:val="none" w:sz="0" w:space="0" w:color="auto"/>
            <w:left w:val="none" w:sz="0" w:space="0" w:color="auto"/>
            <w:bottom w:val="none" w:sz="0" w:space="0" w:color="auto"/>
            <w:right w:val="none" w:sz="0" w:space="0" w:color="auto"/>
          </w:divBdr>
        </w:div>
        <w:div w:id="287124094">
          <w:marLeft w:val="0"/>
          <w:marRight w:val="0"/>
          <w:marTop w:val="0"/>
          <w:marBottom w:val="0"/>
          <w:divBdr>
            <w:top w:val="none" w:sz="0" w:space="0" w:color="auto"/>
            <w:left w:val="none" w:sz="0" w:space="0" w:color="auto"/>
            <w:bottom w:val="none" w:sz="0" w:space="0" w:color="auto"/>
            <w:right w:val="none" w:sz="0" w:space="0" w:color="auto"/>
          </w:divBdr>
        </w:div>
        <w:div w:id="1133868818">
          <w:marLeft w:val="0"/>
          <w:marRight w:val="0"/>
          <w:marTop w:val="0"/>
          <w:marBottom w:val="0"/>
          <w:divBdr>
            <w:top w:val="none" w:sz="0" w:space="0" w:color="auto"/>
            <w:left w:val="none" w:sz="0" w:space="0" w:color="auto"/>
            <w:bottom w:val="none" w:sz="0" w:space="0" w:color="auto"/>
            <w:right w:val="none" w:sz="0" w:space="0" w:color="auto"/>
          </w:divBdr>
        </w:div>
        <w:div w:id="643463075">
          <w:marLeft w:val="0"/>
          <w:marRight w:val="0"/>
          <w:marTop w:val="0"/>
          <w:marBottom w:val="0"/>
          <w:divBdr>
            <w:top w:val="none" w:sz="0" w:space="0" w:color="auto"/>
            <w:left w:val="none" w:sz="0" w:space="0" w:color="auto"/>
            <w:bottom w:val="none" w:sz="0" w:space="0" w:color="auto"/>
            <w:right w:val="none" w:sz="0" w:space="0" w:color="auto"/>
          </w:divBdr>
        </w:div>
        <w:div w:id="1659117174">
          <w:marLeft w:val="0"/>
          <w:marRight w:val="0"/>
          <w:marTop w:val="0"/>
          <w:marBottom w:val="0"/>
          <w:divBdr>
            <w:top w:val="none" w:sz="0" w:space="0" w:color="auto"/>
            <w:left w:val="none" w:sz="0" w:space="0" w:color="auto"/>
            <w:bottom w:val="none" w:sz="0" w:space="0" w:color="auto"/>
            <w:right w:val="none" w:sz="0" w:space="0" w:color="auto"/>
          </w:divBdr>
        </w:div>
        <w:div w:id="330762700">
          <w:marLeft w:val="0"/>
          <w:marRight w:val="0"/>
          <w:marTop w:val="0"/>
          <w:marBottom w:val="0"/>
          <w:divBdr>
            <w:top w:val="none" w:sz="0" w:space="0" w:color="auto"/>
            <w:left w:val="none" w:sz="0" w:space="0" w:color="auto"/>
            <w:bottom w:val="none" w:sz="0" w:space="0" w:color="auto"/>
            <w:right w:val="none" w:sz="0" w:space="0" w:color="auto"/>
          </w:divBdr>
        </w:div>
        <w:div w:id="1720474386">
          <w:marLeft w:val="0"/>
          <w:marRight w:val="0"/>
          <w:marTop w:val="0"/>
          <w:marBottom w:val="0"/>
          <w:divBdr>
            <w:top w:val="none" w:sz="0" w:space="0" w:color="auto"/>
            <w:left w:val="none" w:sz="0" w:space="0" w:color="auto"/>
            <w:bottom w:val="none" w:sz="0" w:space="0" w:color="auto"/>
            <w:right w:val="none" w:sz="0" w:space="0" w:color="auto"/>
          </w:divBdr>
        </w:div>
      </w:divsChild>
    </w:div>
    <w:div w:id="1891765221">
      <w:bodyDiv w:val="1"/>
      <w:marLeft w:val="0"/>
      <w:marRight w:val="0"/>
      <w:marTop w:val="0"/>
      <w:marBottom w:val="0"/>
      <w:divBdr>
        <w:top w:val="none" w:sz="0" w:space="0" w:color="auto"/>
        <w:left w:val="none" w:sz="0" w:space="0" w:color="auto"/>
        <w:bottom w:val="none" w:sz="0" w:space="0" w:color="auto"/>
        <w:right w:val="none" w:sz="0" w:space="0" w:color="auto"/>
      </w:divBdr>
    </w:div>
    <w:div w:id="20600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8F0F7-0E3D-4AF2-BF1D-0880A96C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A66A5A8</Template>
  <TotalTime>11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Steven M. Carcone</cp:lastModifiedBy>
  <cp:revision>6</cp:revision>
  <dcterms:created xsi:type="dcterms:W3CDTF">2018-02-01T18:56:00Z</dcterms:created>
  <dcterms:modified xsi:type="dcterms:W3CDTF">2018-02-02T19:15:00Z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9a9fc994-fc52-34d6-a927-a39404394823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ser Name_1">
    <vt:lpwstr>murray.krahn@theta.utoronto.ca@www.mendeley.com</vt:lpwstr>
  </property>
</Properties>
</file>