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C9" w:rsidRPr="00F355D3" w:rsidRDefault="00800EC9" w:rsidP="00800EC9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Supplementary Table 5</w:t>
      </w:r>
      <w:r w:rsidRPr="00F355D3">
        <w:rPr>
          <w:rFonts w:ascii="Times New Roman" w:hAnsi="Times New Roman" w:cs="Times New Roman"/>
          <w:b/>
        </w:rPr>
        <w:t>: Net monetary benefits for the CUA base case and sensitivity analyses – Complete case analyses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417"/>
        <w:gridCol w:w="1134"/>
        <w:gridCol w:w="1560"/>
        <w:gridCol w:w="992"/>
        <w:gridCol w:w="1417"/>
        <w:gridCol w:w="993"/>
        <w:gridCol w:w="1383"/>
        <w:gridCol w:w="1472"/>
        <w:gridCol w:w="1713"/>
      </w:tblGrid>
      <w:tr w:rsidR="00800EC9" w:rsidRPr="00F355D3" w:rsidTr="00331A5A">
        <w:trPr>
          <w:trHeight w:val="1055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Value of threshold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 xml:space="preserve">Base case: 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%  cost-effective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 xml:space="preserve">Base case: 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 xml:space="preserve">mean net benefit 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(95% CI)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Linear (U)*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% cost-effective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 xml:space="preserve">Linear (U): 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 xml:space="preserve">mean net benefit 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(95% CI)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 xml:space="preserve">Lower 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(U)</w:t>
            </w:r>
            <w:r w:rsidRPr="00F355D3">
              <w:rPr>
                <w:rFonts w:ascii="Times New Roman" w:hAnsi="Times New Roman" w:cs="Times New Roman"/>
                <w:sz w:val="18"/>
              </w:rPr>
              <w:t>¶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% cost-effective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Lower (U):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 xml:space="preserve">mean net benefit 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(95% CI)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Higher (U)</w:t>
            </w:r>
            <w:r w:rsidRPr="00F355D3">
              <w:rPr>
                <w:rFonts w:ascii="Times New Roman" w:hAnsi="Times New Roman" w:cs="Times New Roman"/>
                <w:sz w:val="18"/>
              </w:rPr>
              <w:sym w:font="Symbol" w:char="F023"/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% cost-effective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Higher  (U):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 xml:space="preserve">mean net benefit 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(95% CI)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Societal perspective: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% cost-effective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Societal perspective: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mean net benefit (95% CI)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71 (-215, 351)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67.3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69 (-249,362)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66.4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66 (-229, 377)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69.6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79 (-218, 369)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64.1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61 (-247, 360)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10,000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67 (-217,342)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53.8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17 (-292, 324)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63 (-230, 372)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69.0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76 (-222,367)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63.8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57 (-248, 353)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20,000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67.6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63 (-219, 334)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40.6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-36 (-354, 293)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64.4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60 (-228, 365)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68.2</w:t>
            </w:r>
          </w:p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73 (-226, 364)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63.2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53 (-249, 347)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30,000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59 (-219,327)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30.9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-89 (-441,266)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63.8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57 (-231, 360)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67.5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70 (-229, 361)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62.9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49 (-250, 340)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40,000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65.5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55 (-220,321)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23.2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-141 (-548, 250)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53 (-228, 351)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66.7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67 (-231, 356)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61.9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45 (-251, 333)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50,000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52 (-221,315)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19.3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-194 (-661, 248)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50 (-225, 343)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66.0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64 (-234, 351)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61.1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41 (-252, 327)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60,000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64.1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48 (-223, 309)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16.2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-246 (-771, 234)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47 (-222, 337)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64.9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61 (-235, 345)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60.0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37 (-257, 323)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70,000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44 (-224, 303)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14.7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-299 (-872, 233)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44 (-222, 331)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64.1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58 (-234, 342)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59.3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33 (-257, 320)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80,000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62.2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40 (-227, 299)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12.9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-352 (-978, 259)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41 (-222, 325)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63.0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55 (-233, 338)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58.0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29 (-254, 317)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90,000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60.9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36 (-232,296)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11.4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-404 (-1081, 260)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59.8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37 (-222, 317)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62.1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53 (-231, 333)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56.8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25 (-255, 310)</w:t>
            </w:r>
          </w:p>
        </w:tc>
      </w:tr>
      <w:tr w:rsidR="00800EC9" w:rsidRPr="00F355D3" w:rsidTr="00331A5A">
        <w:tc>
          <w:tcPr>
            <w:tcW w:w="95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100,000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32 (-236, 291)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10.8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-457 (-1200, 269)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59.1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34 ( -223, 309)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61.4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50 (-232, 329)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55.4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00EC9" w:rsidRPr="00F355D3" w:rsidRDefault="00800EC9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21 (-258, 303)</w:t>
            </w:r>
          </w:p>
        </w:tc>
      </w:tr>
      <w:tr w:rsidR="00800EC9" w:rsidRPr="00F355D3" w:rsidTr="00331A5A">
        <w:tc>
          <w:tcPr>
            <w:tcW w:w="14174" w:type="dxa"/>
            <w:gridSpan w:val="11"/>
            <w:tcBorders>
              <w:top w:val="single" w:sz="12" w:space="0" w:color="auto"/>
              <w:bottom w:val="nil"/>
            </w:tcBorders>
          </w:tcPr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Complete case analysis included MgSO4 (n=111) and placebo (n=107).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* Linear interpolation of health utilities over the entire follow-up period, rather than assuming that the health gain was achieved immediately following hospital discharge.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355D3">
              <w:rPr>
                <w:rFonts w:ascii="Times New Roman" w:hAnsi="Times New Roman" w:cs="Times New Roman"/>
                <w:sz w:val="18"/>
              </w:rPr>
              <w:t>¶  ‘Lower</w:t>
            </w:r>
            <w:proofErr w:type="gramEnd"/>
            <w:r w:rsidRPr="00F355D3">
              <w:rPr>
                <w:rFonts w:ascii="Times New Roman" w:hAnsi="Times New Roman" w:cs="Times New Roman"/>
                <w:sz w:val="18"/>
              </w:rPr>
              <w:t xml:space="preserve"> (U)’ denotes an assumption that baseline ASS scores mapped onto EQ-5D health states with lower utility scores than in the baseline analysis.</w:t>
            </w:r>
          </w:p>
          <w:p w:rsidR="00800EC9" w:rsidRPr="00F355D3" w:rsidRDefault="00800EC9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sym w:font="Symbol" w:char="F023"/>
            </w:r>
            <w:r w:rsidRPr="00F355D3">
              <w:rPr>
                <w:rFonts w:ascii="Times New Roman" w:hAnsi="Times New Roman" w:cs="Times New Roman"/>
                <w:sz w:val="18"/>
              </w:rPr>
              <w:t xml:space="preserve">  ‘Higher U)’ denotes an assumption that baseline ASS scores mapped onto EQ-5D health states with higher utility scores than in the baseline analysis.</w:t>
            </w:r>
          </w:p>
        </w:tc>
      </w:tr>
    </w:tbl>
    <w:p w:rsidR="00800EC9" w:rsidRPr="00F355D3" w:rsidRDefault="00800EC9" w:rsidP="00800EC9"/>
    <w:p w:rsidR="009E14FD" w:rsidRDefault="009E14FD">
      <w:bookmarkStart w:id="0" w:name="_GoBack"/>
      <w:bookmarkEnd w:id="0"/>
    </w:p>
    <w:sectPr w:rsidR="009E14FD" w:rsidSect="00800E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C9"/>
    <w:rsid w:val="00800EC9"/>
    <w:rsid w:val="009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7E657102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Petrou, Stavros</dc:creator>
  <cp:lastModifiedBy>Petrou, Stavros</cp:lastModifiedBy>
  <cp:revision>1</cp:revision>
  <dcterms:created xsi:type="dcterms:W3CDTF">2014-05-30T09:44:00Z</dcterms:created>
  <dcterms:modified xsi:type="dcterms:W3CDTF">2014-05-30T09:44:00Z</dcterms:modified>
</cp:coreProperties>
</file>