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0D2C" w14:textId="04095B2B" w:rsidR="009F3F35" w:rsidRDefault="009F3F35" w:rsidP="00AB6FED">
      <w:pPr>
        <w:spacing w:line="480" w:lineRule="auto"/>
      </w:pPr>
      <w:r>
        <w:t xml:space="preserve">Supplementary Figure SF1. </w:t>
      </w:r>
      <w:r w:rsidR="00CB2300">
        <w:t xml:space="preserve">Changes in irritability </w:t>
      </w:r>
      <w:bookmarkStart w:id="0" w:name="_GoBack"/>
      <w:bookmarkEnd w:id="0"/>
      <w:r w:rsidR="00CB2300">
        <w:t xml:space="preserve">among participants with and without </w:t>
      </w:r>
      <w:r w:rsidR="00E30FD1">
        <w:t>aggressive behaviors</w:t>
      </w:r>
      <w:r w:rsidR="00CB2300">
        <w:t xml:space="preserve"> in the EMBARC study.</w:t>
      </w:r>
    </w:p>
    <w:p w14:paraId="4949F5A1" w14:textId="1BB29FF8" w:rsidR="009F3F35" w:rsidRDefault="00685E69" w:rsidP="00AB6FED">
      <w:pPr>
        <w:spacing w:line="480" w:lineRule="auto"/>
      </w:pPr>
      <w:r>
        <w:rPr>
          <w:noProof/>
        </w:rPr>
        <w:drawing>
          <wp:inline distT="0" distB="0" distL="0" distR="0" wp14:anchorId="2EAFAAD6" wp14:editId="3C7EB5BF">
            <wp:extent cx="5943600" cy="3355975"/>
            <wp:effectExtent l="19050" t="19050" r="19050" b="1587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SF1.jpg"/>
                    <pic:cNvPicPr/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9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27394BB" w14:textId="7DB5C69D" w:rsidR="00685E69" w:rsidRDefault="00685E69" w:rsidP="00685E69">
      <w:pPr>
        <w:spacing w:line="480" w:lineRule="auto"/>
      </w:pPr>
      <w:r>
        <w:t>Legends: EMBARC is the Establishing Moderators and Biosignatures of Antidepressant Response for Clinical Care study. LS means are least square means obtained from repeated measures mixed model analyses. CAST</w:t>
      </w:r>
      <w:r>
        <w:t xml:space="preserve"> IRR</w:t>
      </w:r>
      <w:r>
        <w:t xml:space="preserve"> is</w:t>
      </w:r>
      <w:r>
        <w:t xml:space="preserve"> irritability domain of</w:t>
      </w:r>
      <w:r>
        <w:t xml:space="preserve"> Concise Associated Symptom Tracking scale.</w:t>
      </w:r>
    </w:p>
    <w:p w14:paraId="6665795E" w14:textId="77777777" w:rsidR="009F3F35" w:rsidRDefault="009F3F35">
      <w:r>
        <w:br w:type="page"/>
      </w:r>
    </w:p>
    <w:p w14:paraId="6C0D5280" w14:textId="35610765" w:rsidR="00AB6FED" w:rsidRDefault="00AB6FED" w:rsidP="00AB6FED">
      <w:pPr>
        <w:spacing w:line="480" w:lineRule="auto"/>
      </w:pPr>
      <w:r>
        <w:lastRenderedPageBreak/>
        <w:t>Supplementary table ST1. Levels of irritability and anxiety at baseline in EMBARC study based on frequency of anger attacks in past 1 month (n=108*)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296"/>
        <w:gridCol w:w="1296"/>
        <w:gridCol w:w="1296"/>
      </w:tblGrid>
      <w:tr w:rsidR="00AB6FED" w14:paraId="51887E10" w14:textId="77777777" w:rsidTr="001F1EA1">
        <w:tc>
          <w:tcPr>
            <w:tcW w:w="5040" w:type="dxa"/>
          </w:tcPr>
          <w:p w14:paraId="5622DD21" w14:textId="77777777" w:rsidR="00AB6FED" w:rsidRDefault="00AB6FED" w:rsidP="00AB6FED">
            <w:pPr>
              <w:spacing w:line="480" w:lineRule="auto"/>
            </w:pPr>
          </w:p>
        </w:tc>
        <w:tc>
          <w:tcPr>
            <w:tcW w:w="1296" w:type="dxa"/>
          </w:tcPr>
          <w:p w14:paraId="128A12BB" w14:textId="77777777" w:rsidR="00AB6FED" w:rsidRDefault="00AB6FED" w:rsidP="00AB6FED">
            <w:pPr>
              <w:spacing w:line="480" w:lineRule="auto"/>
            </w:pPr>
            <w:r>
              <w:t>N</w:t>
            </w:r>
          </w:p>
        </w:tc>
        <w:tc>
          <w:tcPr>
            <w:tcW w:w="1296" w:type="dxa"/>
          </w:tcPr>
          <w:p w14:paraId="55FD5E4F" w14:textId="77777777" w:rsidR="00AB6FED" w:rsidRDefault="00AB6FED" w:rsidP="00AB6FED">
            <w:pPr>
              <w:spacing w:line="480" w:lineRule="auto"/>
            </w:pPr>
            <w:r>
              <w:t>Mean</w:t>
            </w:r>
          </w:p>
        </w:tc>
        <w:tc>
          <w:tcPr>
            <w:tcW w:w="1296" w:type="dxa"/>
          </w:tcPr>
          <w:p w14:paraId="7417D663" w14:textId="77777777" w:rsidR="00AB6FED" w:rsidRDefault="00AB6FED" w:rsidP="00AB6FED">
            <w:pPr>
              <w:spacing w:line="480" w:lineRule="auto"/>
            </w:pPr>
            <w:r>
              <w:t>SD</w:t>
            </w:r>
          </w:p>
        </w:tc>
      </w:tr>
      <w:tr w:rsidR="00AB6FED" w14:paraId="348F4F24" w14:textId="77777777" w:rsidTr="001F1EA1">
        <w:tc>
          <w:tcPr>
            <w:tcW w:w="5040" w:type="dxa"/>
          </w:tcPr>
          <w:p w14:paraId="7C590D71" w14:textId="77777777" w:rsidR="00AB6FED" w:rsidRPr="0018406C" w:rsidRDefault="00AB6FED" w:rsidP="00AB6FED">
            <w:pPr>
              <w:spacing w:line="480" w:lineRule="auto"/>
              <w:rPr>
                <w:b/>
                <w:bCs/>
              </w:rPr>
            </w:pPr>
            <w:r w:rsidRPr="0018406C">
              <w:rPr>
                <w:b/>
                <w:bCs/>
                <w:u w:val="single"/>
              </w:rPr>
              <w:t>Irritability</w:t>
            </w:r>
            <w:r>
              <w:rPr>
                <w:b/>
                <w:bCs/>
                <w:u w:val="single"/>
              </w:rPr>
              <w:t xml:space="preserve"> domain of CAST</w:t>
            </w:r>
          </w:p>
        </w:tc>
        <w:tc>
          <w:tcPr>
            <w:tcW w:w="1296" w:type="dxa"/>
          </w:tcPr>
          <w:p w14:paraId="7F659BE3" w14:textId="77777777" w:rsidR="00AB6FED" w:rsidRDefault="00AB6FED" w:rsidP="00AB6FED">
            <w:pPr>
              <w:spacing w:line="480" w:lineRule="auto"/>
            </w:pPr>
          </w:p>
        </w:tc>
        <w:tc>
          <w:tcPr>
            <w:tcW w:w="1296" w:type="dxa"/>
          </w:tcPr>
          <w:p w14:paraId="781A4CC5" w14:textId="77777777" w:rsidR="00AB6FED" w:rsidRDefault="00AB6FED" w:rsidP="00AB6FED">
            <w:pPr>
              <w:spacing w:line="480" w:lineRule="auto"/>
            </w:pPr>
          </w:p>
        </w:tc>
        <w:tc>
          <w:tcPr>
            <w:tcW w:w="1296" w:type="dxa"/>
          </w:tcPr>
          <w:p w14:paraId="240024C5" w14:textId="77777777" w:rsidR="00AB6FED" w:rsidRDefault="00AB6FED" w:rsidP="00AB6FED">
            <w:pPr>
              <w:spacing w:line="480" w:lineRule="auto"/>
            </w:pPr>
          </w:p>
        </w:tc>
      </w:tr>
      <w:tr w:rsidR="00AB6FED" w14:paraId="448A1776" w14:textId="77777777" w:rsidTr="001F1EA1">
        <w:tc>
          <w:tcPr>
            <w:tcW w:w="5040" w:type="dxa"/>
          </w:tcPr>
          <w:p w14:paraId="78DBED0B" w14:textId="77777777" w:rsidR="00AB6FED" w:rsidRDefault="00AB6FED" w:rsidP="00AB6FED">
            <w:pPr>
              <w:spacing w:line="480" w:lineRule="auto"/>
            </w:pPr>
            <w:r>
              <w:t>1-2 anger attacks in past 1 month</w:t>
            </w:r>
          </w:p>
        </w:tc>
        <w:tc>
          <w:tcPr>
            <w:tcW w:w="1296" w:type="dxa"/>
          </w:tcPr>
          <w:p w14:paraId="2821BE73" w14:textId="77777777" w:rsidR="00AB6FED" w:rsidRDefault="00AB6FED" w:rsidP="00AB6FED">
            <w:pPr>
              <w:spacing w:line="480" w:lineRule="auto"/>
            </w:pPr>
            <w:r>
              <w:t>44</w:t>
            </w:r>
          </w:p>
        </w:tc>
        <w:tc>
          <w:tcPr>
            <w:tcW w:w="1296" w:type="dxa"/>
          </w:tcPr>
          <w:p w14:paraId="31941A92" w14:textId="77777777" w:rsidR="00AB6FED" w:rsidRDefault="00AB6FED" w:rsidP="00AB6FED">
            <w:pPr>
              <w:spacing w:line="480" w:lineRule="auto"/>
            </w:pPr>
            <w:r>
              <w:t>16.95</w:t>
            </w:r>
          </w:p>
        </w:tc>
        <w:tc>
          <w:tcPr>
            <w:tcW w:w="1296" w:type="dxa"/>
          </w:tcPr>
          <w:p w14:paraId="19CC0FE2" w14:textId="77777777" w:rsidR="00AB6FED" w:rsidRDefault="00AB6FED" w:rsidP="00AB6FED">
            <w:pPr>
              <w:spacing w:line="480" w:lineRule="auto"/>
            </w:pPr>
            <w:r>
              <w:t>3.71</w:t>
            </w:r>
          </w:p>
        </w:tc>
      </w:tr>
      <w:tr w:rsidR="00AB6FED" w14:paraId="23788AA9" w14:textId="77777777" w:rsidTr="001F1EA1">
        <w:tc>
          <w:tcPr>
            <w:tcW w:w="5040" w:type="dxa"/>
          </w:tcPr>
          <w:p w14:paraId="00B2D2DA" w14:textId="77777777" w:rsidR="00AB6FED" w:rsidRDefault="00AB6FED" w:rsidP="00AB6FED">
            <w:pPr>
              <w:spacing w:line="480" w:lineRule="auto"/>
            </w:pPr>
            <w:r>
              <w:t>3-4 anger attacks in past 1 month</w:t>
            </w:r>
          </w:p>
        </w:tc>
        <w:tc>
          <w:tcPr>
            <w:tcW w:w="1296" w:type="dxa"/>
          </w:tcPr>
          <w:p w14:paraId="674FA586" w14:textId="77777777" w:rsidR="00AB6FED" w:rsidRDefault="00AB6FED" w:rsidP="00AB6FED">
            <w:pPr>
              <w:spacing w:line="480" w:lineRule="auto"/>
            </w:pPr>
            <w:r>
              <w:t>31</w:t>
            </w:r>
          </w:p>
        </w:tc>
        <w:tc>
          <w:tcPr>
            <w:tcW w:w="1296" w:type="dxa"/>
          </w:tcPr>
          <w:p w14:paraId="758DE596" w14:textId="77777777" w:rsidR="00AB6FED" w:rsidRDefault="00AB6FED" w:rsidP="00AB6FED">
            <w:pPr>
              <w:spacing w:line="480" w:lineRule="auto"/>
            </w:pPr>
            <w:r>
              <w:t>18.00</w:t>
            </w:r>
          </w:p>
        </w:tc>
        <w:tc>
          <w:tcPr>
            <w:tcW w:w="1296" w:type="dxa"/>
          </w:tcPr>
          <w:p w14:paraId="5FADA3FA" w14:textId="77777777" w:rsidR="00AB6FED" w:rsidRDefault="00AB6FED" w:rsidP="00AB6FED">
            <w:pPr>
              <w:spacing w:line="480" w:lineRule="auto"/>
            </w:pPr>
            <w:r>
              <w:t>2.92</w:t>
            </w:r>
          </w:p>
        </w:tc>
      </w:tr>
      <w:tr w:rsidR="00AB6FED" w14:paraId="256A1CCC" w14:textId="77777777" w:rsidTr="001F1EA1">
        <w:tc>
          <w:tcPr>
            <w:tcW w:w="5040" w:type="dxa"/>
          </w:tcPr>
          <w:p w14:paraId="626C2AE4" w14:textId="77777777" w:rsidR="00AB6FED" w:rsidRDefault="00AB6FED" w:rsidP="00AB6FED">
            <w:pPr>
              <w:spacing w:line="480" w:lineRule="auto"/>
            </w:pPr>
            <w:r>
              <w:t>5-8 anger attacks in past 1 month</w:t>
            </w:r>
          </w:p>
        </w:tc>
        <w:tc>
          <w:tcPr>
            <w:tcW w:w="1296" w:type="dxa"/>
          </w:tcPr>
          <w:p w14:paraId="6AB66131" w14:textId="77777777" w:rsidR="00AB6FED" w:rsidRDefault="00AB6FED" w:rsidP="00AB6FED">
            <w:pPr>
              <w:spacing w:line="480" w:lineRule="auto"/>
            </w:pPr>
            <w:r>
              <w:t>19</w:t>
            </w:r>
          </w:p>
        </w:tc>
        <w:tc>
          <w:tcPr>
            <w:tcW w:w="1296" w:type="dxa"/>
          </w:tcPr>
          <w:p w14:paraId="71BB7202" w14:textId="77777777" w:rsidR="00AB6FED" w:rsidRDefault="00AB6FED" w:rsidP="00AB6FED">
            <w:pPr>
              <w:spacing w:line="480" w:lineRule="auto"/>
            </w:pPr>
            <w:r>
              <w:t>19.84</w:t>
            </w:r>
          </w:p>
        </w:tc>
        <w:tc>
          <w:tcPr>
            <w:tcW w:w="1296" w:type="dxa"/>
          </w:tcPr>
          <w:p w14:paraId="3F11B56E" w14:textId="77777777" w:rsidR="00AB6FED" w:rsidRDefault="00AB6FED" w:rsidP="00AB6FED">
            <w:pPr>
              <w:spacing w:line="480" w:lineRule="auto"/>
            </w:pPr>
            <w:r>
              <w:t>2.85</w:t>
            </w:r>
          </w:p>
        </w:tc>
      </w:tr>
      <w:tr w:rsidR="00AB6FED" w14:paraId="03E30634" w14:textId="77777777" w:rsidTr="001F1EA1">
        <w:tc>
          <w:tcPr>
            <w:tcW w:w="5040" w:type="dxa"/>
          </w:tcPr>
          <w:p w14:paraId="72DF7DCC" w14:textId="77777777" w:rsidR="00AB6FED" w:rsidRDefault="00AB6FED" w:rsidP="00AB6FED">
            <w:pPr>
              <w:spacing w:line="480" w:lineRule="auto"/>
            </w:pPr>
            <w:r>
              <w:rPr>
                <w:rFonts w:cstheme="minorHAnsi"/>
              </w:rPr>
              <w:t>≥</w:t>
            </w:r>
            <w:r>
              <w:t>9 anger attacks in past 1 month</w:t>
            </w:r>
          </w:p>
        </w:tc>
        <w:tc>
          <w:tcPr>
            <w:tcW w:w="1296" w:type="dxa"/>
          </w:tcPr>
          <w:p w14:paraId="02E9E417" w14:textId="77777777" w:rsidR="00AB6FED" w:rsidRDefault="00AB6FED" w:rsidP="00AB6FED">
            <w:pPr>
              <w:spacing w:line="480" w:lineRule="auto"/>
            </w:pPr>
            <w:r>
              <w:t>14</w:t>
            </w:r>
          </w:p>
        </w:tc>
        <w:tc>
          <w:tcPr>
            <w:tcW w:w="1296" w:type="dxa"/>
          </w:tcPr>
          <w:p w14:paraId="61DFE5E6" w14:textId="77777777" w:rsidR="00AB6FED" w:rsidRDefault="00AB6FED" w:rsidP="00AB6FED">
            <w:pPr>
              <w:spacing w:line="480" w:lineRule="auto"/>
            </w:pPr>
            <w:r>
              <w:t>20.29</w:t>
            </w:r>
          </w:p>
        </w:tc>
        <w:tc>
          <w:tcPr>
            <w:tcW w:w="1296" w:type="dxa"/>
          </w:tcPr>
          <w:p w14:paraId="65839474" w14:textId="77777777" w:rsidR="00AB6FED" w:rsidRDefault="00AB6FED" w:rsidP="00AB6FED">
            <w:pPr>
              <w:spacing w:line="480" w:lineRule="auto"/>
            </w:pPr>
            <w:r>
              <w:t>2.81</w:t>
            </w:r>
          </w:p>
        </w:tc>
      </w:tr>
      <w:tr w:rsidR="00AB6FED" w14:paraId="5B40F59C" w14:textId="77777777" w:rsidTr="001F1EA1">
        <w:tc>
          <w:tcPr>
            <w:tcW w:w="5040" w:type="dxa"/>
          </w:tcPr>
          <w:p w14:paraId="3771A71F" w14:textId="77777777" w:rsidR="00AB6FED" w:rsidRPr="0018406C" w:rsidRDefault="00AB6FED" w:rsidP="00AB6FED">
            <w:pPr>
              <w:spacing w:line="480" w:lineRule="auto"/>
              <w:rPr>
                <w:b/>
                <w:bCs/>
                <w:u w:val="single"/>
              </w:rPr>
            </w:pPr>
            <w:r w:rsidRPr="0018406C">
              <w:rPr>
                <w:b/>
                <w:bCs/>
                <w:u w:val="single"/>
              </w:rPr>
              <w:t>Anxiety</w:t>
            </w:r>
            <w:r>
              <w:rPr>
                <w:b/>
                <w:bCs/>
                <w:u w:val="single"/>
              </w:rPr>
              <w:t xml:space="preserve"> domain of CAST</w:t>
            </w:r>
          </w:p>
        </w:tc>
        <w:tc>
          <w:tcPr>
            <w:tcW w:w="1296" w:type="dxa"/>
          </w:tcPr>
          <w:p w14:paraId="1E252CE0" w14:textId="77777777" w:rsidR="00AB6FED" w:rsidRDefault="00AB6FED" w:rsidP="00AB6FED">
            <w:pPr>
              <w:spacing w:line="480" w:lineRule="auto"/>
            </w:pPr>
          </w:p>
        </w:tc>
        <w:tc>
          <w:tcPr>
            <w:tcW w:w="1296" w:type="dxa"/>
          </w:tcPr>
          <w:p w14:paraId="13375456" w14:textId="77777777" w:rsidR="00AB6FED" w:rsidRDefault="00AB6FED" w:rsidP="00AB6FED">
            <w:pPr>
              <w:spacing w:line="480" w:lineRule="auto"/>
            </w:pPr>
          </w:p>
        </w:tc>
        <w:tc>
          <w:tcPr>
            <w:tcW w:w="1296" w:type="dxa"/>
          </w:tcPr>
          <w:p w14:paraId="4CAB1B3E" w14:textId="77777777" w:rsidR="00AB6FED" w:rsidRDefault="00AB6FED" w:rsidP="00AB6FED">
            <w:pPr>
              <w:spacing w:line="480" w:lineRule="auto"/>
            </w:pPr>
          </w:p>
        </w:tc>
      </w:tr>
      <w:tr w:rsidR="00AB6FED" w14:paraId="0D67654D" w14:textId="77777777" w:rsidTr="001F1EA1">
        <w:tc>
          <w:tcPr>
            <w:tcW w:w="5040" w:type="dxa"/>
          </w:tcPr>
          <w:p w14:paraId="661B4493" w14:textId="77777777" w:rsidR="00AB6FED" w:rsidRDefault="00AB6FED" w:rsidP="00AB6FED">
            <w:pPr>
              <w:spacing w:line="480" w:lineRule="auto"/>
            </w:pPr>
            <w:r>
              <w:t>1-2 anger attacks in past 1 month</w:t>
            </w:r>
          </w:p>
        </w:tc>
        <w:tc>
          <w:tcPr>
            <w:tcW w:w="1296" w:type="dxa"/>
          </w:tcPr>
          <w:p w14:paraId="3F22B29D" w14:textId="77777777" w:rsidR="00AB6FED" w:rsidRDefault="00AB6FED" w:rsidP="00AB6FED">
            <w:pPr>
              <w:spacing w:line="480" w:lineRule="auto"/>
            </w:pPr>
            <w:r>
              <w:t>44</w:t>
            </w:r>
          </w:p>
        </w:tc>
        <w:tc>
          <w:tcPr>
            <w:tcW w:w="1296" w:type="dxa"/>
          </w:tcPr>
          <w:p w14:paraId="312B0A80" w14:textId="77777777" w:rsidR="00AB6FED" w:rsidRDefault="00AB6FED" w:rsidP="00AB6FED">
            <w:pPr>
              <w:spacing w:line="480" w:lineRule="auto"/>
            </w:pPr>
            <w:r>
              <w:t>8.59</w:t>
            </w:r>
          </w:p>
        </w:tc>
        <w:tc>
          <w:tcPr>
            <w:tcW w:w="1296" w:type="dxa"/>
          </w:tcPr>
          <w:p w14:paraId="5B3EA5B1" w14:textId="77777777" w:rsidR="00AB6FED" w:rsidRDefault="00AB6FED" w:rsidP="00AB6FED">
            <w:pPr>
              <w:spacing w:line="480" w:lineRule="auto"/>
            </w:pPr>
            <w:r>
              <w:t>2.36</w:t>
            </w:r>
          </w:p>
        </w:tc>
      </w:tr>
      <w:tr w:rsidR="00AB6FED" w14:paraId="0384D12B" w14:textId="77777777" w:rsidTr="001F1EA1">
        <w:tc>
          <w:tcPr>
            <w:tcW w:w="5040" w:type="dxa"/>
          </w:tcPr>
          <w:p w14:paraId="52A5E0F6" w14:textId="77777777" w:rsidR="00AB6FED" w:rsidRDefault="00AB6FED" w:rsidP="00AB6FED">
            <w:pPr>
              <w:spacing w:line="480" w:lineRule="auto"/>
            </w:pPr>
            <w:r>
              <w:t>3-4 anger attacks in past 1 month</w:t>
            </w:r>
          </w:p>
        </w:tc>
        <w:tc>
          <w:tcPr>
            <w:tcW w:w="1296" w:type="dxa"/>
          </w:tcPr>
          <w:p w14:paraId="40B41ABA" w14:textId="77777777" w:rsidR="00AB6FED" w:rsidRDefault="00AB6FED" w:rsidP="00AB6FED">
            <w:pPr>
              <w:spacing w:line="480" w:lineRule="auto"/>
            </w:pPr>
            <w:r>
              <w:t>31</w:t>
            </w:r>
          </w:p>
        </w:tc>
        <w:tc>
          <w:tcPr>
            <w:tcW w:w="1296" w:type="dxa"/>
          </w:tcPr>
          <w:p w14:paraId="587237D9" w14:textId="77777777" w:rsidR="00AB6FED" w:rsidRDefault="00AB6FED" w:rsidP="00AB6FED">
            <w:pPr>
              <w:spacing w:line="480" w:lineRule="auto"/>
            </w:pPr>
            <w:r>
              <w:t>9.19</w:t>
            </w:r>
          </w:p>
        </w:tc>
        <w:tc>
          <w:tcPr>
            <w:tcW w:w="1296" w:type="dxa"/>
          </w:tcPr>
          <w:p w14:paraId="30D55759" w14:textId="77777777" w:rsidR="00AB6FED" w:rsidRDefault="00AB6FED" w:rsidP="00AB6FED">
            <w:pPr>
              <w:spacing w:line="480" w:lineRule="auto"/>
            </w:pPr>
            <w:r>
              <w:t>2.86</w:t>
            </w:r>
          </w:p>
        </w:tc>
      </w:tr>
      <w:tr w:rsidR="00AB6FED" w14:paraId="085D4542" w14:textId="77777777" w:rsidTr="001F1EA1">
        <w:tc>
          <w:tcPr>
            <w:tcW w:w="5040" w:type="dxa"/>
          </w:tcPr>
          <w:p w14:paraId="19591E50" w14:textId="77777777" w:rsidR="00AB6FED" w:rsidRDefault="00AB6FED" w:rsidP="00AB6FED">
            <w:pPr>
              <w:spacing w:line="480" w:lineRule="auto"/>
            </w:pPr>
            <w:r>
              <w:t>5-8 anger attacks in past 1 month</w:t>
            </w:r>
          </w:p>
        </w:tc>
        <w:tc>
          <w:tcPr>
            <w:tcW w:w="1296" w:type="dxa"/>
          </w:tcPr>
          <w:p w14:paraId="0AECA5AD" w14:textId="77777777" w:rsidR="00AB6FED" w:rsidRDefault="00AB6FED" w:rsidP="00AB6FED">
            <w:pPr>
              <w:spacing w:line="480" w:lineRule="auto"/>
            </w:pPr>
            <w:r>
              <w:t>19</w:t>
            </w:r>
          </w:p>
        </w:tc>
        <w:tc>
          <w:tcPr>
            <w:tcW w:w="1296" w:type="dxa"/>
          </w:tcPr>
          <w:p w14:paraId="339CA3AF" w14:textId="77777777" w:rsidR="00AB6FED" w:rsidRDefault="00AB6FED" w:rsidP="00AB6FED">
            <w:pPr>
              <w:spacing w:line="480" w:lineRule="auto"/>
            </w:pPr>
            <w:r>
              <w:t>11.00</w:t>
            </w:r>
          </w:p>
        </w:tc>
        <w:tc>
          <w:tcPr>
            <w:tcW w:w="1296" w:type="dxa"/>
          </w:tcPr>
          <w:p w14:paraId="1B402F24" w14:textId="77777777" w:rsidR="00AB6FED" w:rsidRDefault="00AB6FED" w:rsidP="00AB6FED">
            <w:pPr>
              <w:spacing w:line="480" w:lineRule="auto"/>
            </w:pPr>
            <w:r>
              <w:t>1.86</w:t>
            </w:r>
          </w:p>
        </w:tc>
      </w:tr>
      <w:tr w:rsidR="00AB6FED" w14:paraId="31213460" w14:textId="77777777" w:rsidTr="001F1EA1">
        <w:tc>
          <w:tcPr>
            <w:tcW w:w="5040" w:type="dxa"/>
          </w:tcPr>
          <w:p w14:paraId="7D36ABE5" w14:textId="77777777" w:rsidR="00AB6FED" w:rsidRDefault="00AB6FED" w:rsidP="00AB6FED">
            <w:pPr>
              <w:spacing w:line="480" w:lineRule="auto"/>
            </w:pPr>
            <w:r>
              <w:rPr>
                <w:rFonts w:cstheme="minorHAnsi"/>
              </w:rPr>
              <w:t>≥</w:t>
            </w:r>
            <w:r>
              <w:t>9 anger attacks in past 1 month</w:t>
            </w:r>
          </w:p>
        </w:tc>
        <w:tc>
          <w:tcPr>
            <w:tcW w:w="1296" w:type="dxa"/>
          </w:tcPr>
          <w:p w14:paraId="356D75DD" w14:textId="77777777" w:rsidR="00AB6FED" w:rsidRDefault="00AB6FED" w:rsidP="00AB6FED">
            <w:pPr>
              <w:spacing w:line="480" w:lineRule="auto"/>
            </w:pPr>
            <w:r>
              <w:t>14</w:t>
            </w:r>
          </w:p>
        </w:tc>
        <w:tc>
          <w:tcPr>
            <w:tcW w:w="1296" w:type="dxa"/>
          </w:tcPr>
          <w:p w14:paraId="434F7AEC" w14:textId="77777777" w:rsidR="00AB6FED" w:rsidRDefault="00AB6FED" w:rsidP="00AB6FED">
            <w:pPr>
              <w:spacing w:line="480" w:lineRule="auto"/>
            </w:pPr>
            <w:r>
              <w:t>10.00</w:t>
            </w:r>
          </w:p>
        </w:tc>
        <w:tc>
          <w:tcPr>
            <w:tcW w:w="1296" w:type="dxa"/>
          </w:tcPr>
          <w:p w14:paraId="5B2B8F31" w14:textId="77777777" w:rsidR="00AB6FED" w:rsidRDefault="00AB6FED" w:rsidP="00AB6FED">
            <w:pPr>
              <w:spacing w:line="480" w:lineRule="auto"/>
            </w:pPr>
            <w:r>
              <w:t>2.94</w:t>
            </w:r>
          </w:p>
        </w:tc>
      </w:tr>
    </w:tbl>
    <w:p w14:paraId="3B5E21C3" w14:textId="1E820165" w:rsidR="0094769E" w:rsidRDefault="00AB6FED" w:rsidP="00AB6FED">
      <w:pPr>
        <w:spacing w:line="480" w:lineRule="auto"/>
      </w:pPr>
      <w:r>
        <w:t>*Among participants of Establishing Moderators and Biosignature of Antidepressant Response in Clinical Care (EMBARC) study with anger attacks (n=109), one participant with 3-4 anger attacks in the past 1 month had missing data for irritability and anxiety domains of Concise Associated Symptom Tracking scale (CAST).</w:t>
      </w:r>
    </w:p>
    <w:p w14:paraId="7C7C3FAD" w14:textId="45A3D4B2" w:rsidR="00AB6FED" w:rsidRDefault="00AB6FED">
      <w:r>
        <w:br w:type="page"/>
      </w:r>
    </w:p>
    <w:p w14:paraId="44AD6E86" w14:textId="77777777" w:rsidR="00266807" w:rsidRDefault="00266807" w:rsidP="00266807">
      <w:pPr>
        <w:spacing w:line="480" w:lineRule="auto"/>
      </w:pPr>
      <w:r>
        <w:lastRenderedPageBreak/>
        <w:t>Supplementary table ST2. Mixed model analyses of changes in depression, anxiety, and irritability with acute-phase antidepressant treatment based on presence of aggressive behaviors at baseline (n=293)</w:t>
      </w: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2304"/>
        <w:gridCol w:w="1584"/>
        <w:gridCol w:w="939"/>
        <w:gridCol w:w="1584"/>
        <w:gridCol w:w="939"/>
        <w:gridCol w:w="1584"/>
        <w:gridCol w:w="939"/>
      </w:tblGrid>
      <w:tr w:rsidR="00266807" w14:paraId="57BA429D" w14:textId="77777777" w:rsidTr="001F1EA1">
        <w:trPr>
          <w:trHeight w:val="576"/>
        </w:trPr>
        <w:tc>
          <w:tcPr>
            <w:tcW w:w="2304" w:type="dxa"/>
          </w:tcPr>
          <w:p w14:paraId="4C75F4A1" w14:textId="77777777" w:rsidR="00266807" w:rsidRDefault="00266807" w:rsidP="001F1EA1">
            <w:pPr>
              <w:spacing w:line="480" w:lineRule="auto"/>
            </w:pPr>
          </w:p>
        </w:tc>
        <w:tc>
          <w:tcPr>
            <w:tcW w:w="2523" w:type="dxa"/>
            <w:gridSpan w:val="2"/>
          </w:tcPr>
          <w:p w14:paraId="6436982E" w14:textId="77777777" w:rsidR="00266807" w:rsidRDefault="00266807" w:rsidP="001F1EA1">
            <w:pPr>
              <w:spacing w:line="480" w:lineRule="auto"/>
              <w:jc w:val="center"/>
            </w:pPr>
            <w:r>
              <w:t>Depression</w:t>
            </w:r>
          </w:p>
        </w:tc>
        <w:tc>
          <w:tcPr>
            <w:tcW w:w="2523" w:type="dxa"/>
            <w:gridSpan w:val="2"/>
          </w:tcPr>
          <w:p w14:paraId="1D7918CB" w14:textId="77777777" w:rsidR="00266807" w:rsidRDefault="00266807" w:rsidP="001F1EA1">
            <w:pPr>
              <w:spacing w:line="480" w:lineRule="auto"/>
              <w:jc w:val="center"/>
            </w:pPr>
            <w:r>
              <w:t>Anxiety</w:t>
            </w:r>
          </w:p>
        </w:tc>
        <w:tc>
          <w:tcPr>
            <w:tcW w:w="2523" w:type="dxa"/>
            <w:gridSpan w:val="2"/>
          </w:tcPr>
          <w:p w14:paraId="49B8F5CB" w14:textId="77777777" w:rsidR="00266807" w:rsidRDefault="00266807" w:rsidP="001F1EA1">
            <w:pPr>
              <w:spacing w:line="480" w:lineRule="auto"/>
              <w:jc w:val="center"/>
            </w:pPr>
            <w:r>
              <w:t>Irritability</w:t>
            </w:r>
          </w:p>
        </w:tc>
      </w:tr>
      <w:tr w:rsidR="00266807" w14:paraId="2B1593B5" w14:textId="77777777" w:rsidTr="001F1EA1">
        <w:tc>
          <w:tcPr>
            <w:tcW w:w="2304" w:type="dxa"/>
          </w:tcPr>
          <w:p w14:paraId="1F9A6105" w14:textId="77777777" w:rsidR="00266807" w:rsidRDefault="00266807" w:rsidP="001F1EA1">
            <w:pPr>
              <w:spacing w:line="480" w:lineRule="auto"/>
            </w:pPr>
          </w:p>
        </w:tc>
        <w:tc>
          <w:tcPr>
            <w:tcW w:w="1584" w:type="dxa"/>
          </w:tcPr>
          <w:p w14:paraId="0088CA72" w14:textId="77777777" w:rsidR="00266807" w:rsidRDefault="00266807" w:rsidP="001F1EA1">
            <w:pPr>
              <w:spacing w:line="480" w:lineRule="auto"/>
            </w:pPr>
            <w:r>
              <w:t>F value (df)</w:t>
            </w:r>
          </w:p>
        </w:tc>
        <w:tc>
          <w:tcPr>
            <w:tcW w:w="939" w:type="dxa"/>
          </w:tcPr>
          <w:p w14:paraId="1ACB31C9" w14:textId="77777777" w:rsidR="00266807" w:rsidRDefault="00266807" w:rsidP="001F1EA1">
            <w:pPr>
              <w:spacing w:line="480" w:lineRule="auto"/>
            </w:pPr>
            <w:r>
              <w:t>p*</w:t>
            </w:r>
          </w:p>
        </w:tc>
        <w:tc>
          <w:tcPr>
            <w:tcW w:w="1584" w:type="dxa"/>
          </w:tcPr>
          <w:p w14:paraId="0041B29B" w14:textId="77777777" w:rsidR="00266807" w:rsidRDefault="00266807" w:rsidP="001F1EA1">
            <w:pPr>
              <w:spacing w:line="480" w:lineRule="auto"/>
            </w:pPr>
            <w:r>
              <w:t>F value (df)</w:t>
            </w:r>
          </w:p>
        </w:tc>
        <w:tc>
          <w:tcPr>
            <w:tcW w:w="939" w:type="dxa"/>
          </w:tcPr>
          <w:p w14:paraId="736DA754" w14:textId="77777777" w:rsidR="00266807" w:rsidRDefault="00266807" w:rsidP="001F1EA1">
            <w:pPr>
              <w:spacing w:line="480" w:lineRule="auto"/>
            </w:pPr>
            <w:r>
              <w:t>p*</w:t>
            </w:r>
          </w:p>
        </w:tc>
        <w:tc>
          <w:tcPr>
            <w:tcW w:w="1584" w:type="dxa"/>
          </w:tcPr>
          <w:p w14:paraId="50B940DB" w14:textId="77777777" w:rsidR="00266807" w:rsidRDefault="00266807" w:rsidP="001F1EA1">
            <w:pPr>
              <w:spacing w:line="480" w:lineRule="auto"/>
            </w:pPr>
            <w:r>
              <w:t>F value (df)</w:t>
            </w:r>
          </w:p>
        </w:tc>
        <w:tc>
          <w:tcPr>
            <w:tcW w:w="939" w:type="dxa"/>
          </w:tcPr>
          <w:p w14:paraId="6DFA016D" w14:textId="77777777" w:rsidR="00266807" w:rsidRDefault="00266807" w:rsidP="001F1EA1">
            <w:pPr>
              <w:spacing w:line="480" w:lineRule="auto"/>
            </w:pPr>
            <w:r>
              <w:t>p*</w:t>
            </w:r>
          </w:p>
        </w:tc>
      </w:tr>
      <w:tr w:rsidR="00266807" w14:paraId="64062F10" w14:textId="77777777" w:rsidTr="001F1EA1">
        <w:tc>
          <w:tcPr>
            <w:tcW w:w="2304" w:type="dxa"/>
          </w:tcPr>
          <w:p w14:paraId="75D049D0" w14:textId="77777777" w:rsidR="00266807" w:rsidRDefault="00266807" w:rsidP="001F1EA1">
            <w:pPr>
              <w:spacing w:line="480" w:lineRule="auto"/>
            </w:pPr>
            <w:r>
              <w:t>Aggressive behavior</w:t>
            </w:r>
          </w:p>
        </w:tc>
        <w:tc>
          <w:tcPr>
            <w:tcW w:w="1584" w:type="dxa"/>
          </w:tcPr>
          <w:p w14:paraId="52ACA034" w14:textId="77777777" w:rsidR="00266807" w:rsidRDefault="00266807" w:rsidP="001F1EA1">
            <w:pPr>
              <w:spacing w:line="480" w:lineRule="auto"/>
            </w:pPr>
            <w:r>
              <w:t>0.05 (1, 286)</w:t>
            </w:r>
          </w:p>
        </w:tc>
        <w:tc>
          <w:tcPr>
            <w:tcW w:w="939" w:type="dxa"/>
          </w:tcPr>
          <w:p w14:paraId="438ADD9B" w14:textId="77777777" w:rsidR="00266807" w:rsidRDefault="00266807" w:rsidP="001F1EA1">
            <w:pPr>
              <w:spacing w:line="480" w:lineRule="auto"/>
            </w:pPr>
            <w:r>
              <w:t>&gt;0.99</w:t>
            </w:r>
          </w:p>
        </w:tc>
        <w:tc>
          <w:tcPr>
            <w:tcW w:w="1584" w:type="dxa"/>
          </w:tcPr>
          <w:p w14:paraId="416460AB" w14:textId="77777777" w:rsidR="00266807" w:rsidRDefault="00266807" w:rsidP="001F1EA1">
            <w:pPr>
              <w:spacing w:line="480" w:lineRule="auto"/>
            </w:pPr>
            <w:r>
              <w:t>1.43 (1, 286)</w:t>
            </w:r>
          </w:p>
        </w:tc>
        <w:tc>
          <w:tcPr>
            <w:tcW w:w="939" w:type="dxa"/>
          </w:tcPr>
          <w:p w14:paraId="42DD6666" w14:textId="77777777" w:rsidR="00266807" w:rsidRDefault="00266807" w:rsidP="001F1EA1">
            <w:pPr>
              <w:spacing w:line="480" w:lineRule="auto"/>
            </w:pPr>
            <w:r>
              <w:t>&gt;0.99</w:t>
            </w:r>
          </w:p>
        </w:tc>
        <w:tc>
          <w:tcPr>
            <w:tcW w:w="1584" w:type="dxa"/>
          </w:tcPr>
          <w:p w14:paraId="42AE2E92" w14:textId="77777777" w:rsidR="00266807" w:rsidRDefault="00266807" w:rsidP="001F1EA1">
            <w:pPr>
              <w:spacing w:line="480" w:lineRule="auto"/>
            </w:pPr>
            <w:r>
              <w:t>19.79 (1, 288)</w:t>
            </w:r>
          </w:p>
        </w:tc>
        <w:tc>
          <w:tcPr>
            <w:tcW w:w="939" w:type="dxa"/>
          </w:tcPr>
          <w:p w14:paraId="2F3D76E0" w14:textId="77777777" w:rsidR="00266807" w:rsidRDefault="00266807" w:rsidP="001F1EA1">
            <w:pPr>
              <w:spacing w:line="480" w:lineRule="auto"/>
            </w:pPr>
            <w:r>
              <w:t>&lt;0.001</w:t>
            </w:r>
          </w:p>
        </w:tc>
      </w:tr>
      <w:tr w:rsidR="00266807" w14:paraId="0A3EF093" w14:textId="77777777" w:rsidTr="001F1EA1">
        <w:tc>
          <w:tcPr>
            <w:tcW w:w="2304" w:type="dxa"/>
          </w:tcPr>
          <w:p w14:paraId="5C4861C9" w14:textId="77777777" w:rsidR="00266807" w:rsidRDefault="00266807" w:rsidP="001F1EA1">
            <w:pPr>
              <w:spacing w:line="480" w:lineRule="auto"/>
            </w:pPr>
            <w:r>
              <w:t>Week</w:t>
            </w:r>
          </w:p>
        </w:tc>
        <w:tc>
          <w:tcPr>
            <w:tcW w:w="1584" w:type="dxa"/>
          </w:tcPr>
          <w:p w14:paraId="5FDC4837" w14:textId="77777777" w:rsidR="00266807" w:rsidRDefault="00266807" w:rsidP="001F1EA1">
            <w:pPr>
              <w:spacing w:line="480" w:lineRule="auto"/>
            </w:pPr>
            <w:r>
              <w:t>94.48 (6, 1494)</w:t>
            </w:r>
          </w:p>
        </w:tc>
        <w:tc>
          <w:tcPr>
            <w:tcW w:w="939" w:type="dxa"/>
          </w:tcPr>
          <w:p w14:paraId="20CB4AE9" w14:textId="77777777" w:rsidR="00266807" w:rsidRDefault="00266807" w:rsidP="001F1EA1">
            <w:pPr>
              <w:spacing w:line="480" w:lineRule="auto"/>
            </w:pPr>
            <w:r>
              <w:t>&lt;0.001</w:t>
            </w:r>
          </w:p>
        </w:tc>
        <w:tc>
          <w:tcPr>
            <w:tcW w:w="1584" w:type="dxa"/>
          </w:tcPr>
          <w:p w14:paraId="320599D2" w14:textId="77777777" w:rsidR="00266807" w:rsidRDefault="00266807" w:rsidP="001F1EA1">
            <w:pPr>
              <w:spacing w:line="480" w:lineRule="auto"/>
            </w:pPr>
            <w:r>
              <w:t>18.89 (6, 1430)</w:t>
            </w:r>
          </w:p>
        </w:tc>
        <w:tc>
          <w:tcPr>
            <w:tcW w:w="939" w:type="dxa"/>
          </w:tcPr>
          <w:p w14:paraId="1BEAEA94" w14:textId="77777777" w:rsidR="00266807" w:rsidRDefault="00266807" w:rsidP="001F1EA1">
            <w:pPr>
              <w:spacing w:line="480" w:lineRule="auto"/>
            </w:pPr>
            <w:r>
              <w:t>&lt;0.001</w:t>
            </w:r>
          </w:p>
        </w:tc>
        <w:tc>
          <w:tcPr>
            <w:tcW w:w="1584" w:type="dxa"/>
          </w:tcPr>
          <w:p w14:paraId="1E35E8B7" w14:textId="77777777" w:rsidR="00266807" w:rsidRPr="004E247E" w:rsidRDefault="00266807" w:rsidP="001F1EA1">
            <w:pPr>
              <w:spacing w:line="480" w:lineRule="auto"/>
            </w:pPr>
            <w:r>
              <w:t>49.33 (1, 1431)</w:t>
            </w:r>
          </w:p>
        </w:tc>
        <w:tc>
          <w:tcPr>
            <w:tcW w:w="939" w:type="dxa"/>
          </w:tcPr>
          <w:p w14:paraId="152D69C2" w14:textId="77777777" w:rsidR="00266807" w:rsidRDefault="00266807" w:rsidP="001F1EA1">
            <w:pPr>
              <w:spacing w:line="480" w:lineRule="auto"/>
            </w:pPr>
            <w:r>
              <w:t>&lt;0.001</w:t>
            </w:r>
          </w:p>
        </w:tc>
      </w:tr>
      <w:tr w:rsidR="00266807" w14:paraId="422C249B" w14:textId="77777777" w:rsidTr="001F1EA1">
        <w:tc>
          <w:tcPr>
            <w:tcW w:w="2304" w:type="dxa"/>
          </w:tcPr>
          <w:p w14:paraId="2B9FFA9D" w14:textId="77777777" w:rsidR="00266807" w:rsidRDefault="00266807" w:rsidP="001F1EA1">
            <w:pPr>
              <w:spacing w:line="480" w:lineRule="auto"/>
            </w:pPr>
            <w:r>
              <w:t>Week-by-aggressive behavior</w:t>
            </w:r>
          </w:p>
        </w:tc>
        <w:tc>
          <w:tcPr>
            <w:tcW w:w="1584" w:type="dxa"/>
          </w:tcPr>
          <w:p w14:paraId="335E3041" w14:textId="77777777" w:rsidR="00266807" w:rsidRDefault="00266807" w:rsidP="001F1EA1">
            <w:pPr>
              <w:spacing w:line="480" w:lineRule="auto"/>
            </w:pPr>
            <w:r>
              <w:t>0.56 (6, 1494)</w:t>
            </w:r>
          </w:p>
        </w:tc>
        <w:tc>
          <w:tcPr>
            <w:tcW w:w="939" w:type="dxa"/>
          </w:tcPr>
          <w:p w14:paraId="3F6DF193" w14:textId="77777777" w:rsidR="00266807" w:rsidRDefault="00266807" w:rsidP="001F1EA1">
            <w:pPr>
              <w:spacing w:line="480" w:lineRule="auto"/>
            </w:pPr>
            <w:r>
              <w:t>&gt;0.99</w:t>
            </w:r>
          </w:p>
        </w:tc>
        <w:tc>
          <w:tcPr>
            <w:tcW w:w="1584" w:type="dxa"/>
          </w:tcPr>
          <w:p w14:paraId="77D96493" w14:textId="77777777" w:rsidR="00266807" w:rsidRDefault="00266807" w:rsidP="001F1EA1">
            <w:pPr>
              <w:spacing w:line="480" w:lineRule="auto"/>
            </w:pPr>
            <w:r>
              <w:t>0.71 (6, 1430)</w:t>
            </w:r>
          </w:p>
        </w:tc>
        <w:tc>
          <w:tcPr>
            <w:tcW w:w="939" w:type="dxa"/>
          </w:tcPr>
          <w:p w14:paraId="69F442E0" w14:textId="77777777" w:rsidR="00266807" w:rsidRDefault="00266807" w:rsidP="001F1EA1">
            <w:pPr>
              <w:spacing w:line="480" w:lineRule="auto"/>
            </w:pPr>
            <w:r>
              <w:t>&gt;0.99</w:t>
            </w:r>
          </w:p>
        </w:tc>
        <w:tc>
          <w:tcPr>
            <w:tcW w:w="1584" w:type="dxa"/>
          </w:tcPr>
          <w:p w14:paraId="5AB685BB" w14:textId="77777777" w:rsidR="00266807" w:rsidRDefault="00266807" w:rsidP="001F1EA1">
            <w:pPr>
              <w:spacing w:line="480" w:lineRule="auto"/>
            </w:pPr>
            <w:r>
              <w:t>3.63 (6, 1431)</w:t>
            </w:r>
          </w:p>
        </w:tc>
        <w:tc>
          <w:tcPr>
            <w:tcW w:w="939" w:type="dxa"/>
          </w:tcPr>
          <w:p w14:paraId="27354887" w14:textId="77777777" w:rsidR="00266807" w:rsidRDefault="00266807" w:rsidP="001F1EA1">
            <w:pPr>
              <w:spacing w:line="480" w:lineRule="auto"/>
            </w:pPr>
            <w:r>
              <w:t>0.013</w:t>
            </w:r>
          </w:p>
        </w:tc>
      </w:tr>
    </w:tbl>
    <w:p w14:paraId="328525AD" w14:textId="77777777" w:rsidR="00266807" w:rsidRDefault="00266807" w:rsidP="00266807">
      <w:pPr>
        <w:spacing w:line="480" w:lineRule="auto"/>
      </w:pPr>
      <w:r>
        <w:t>p* is p value after Bonferroni adjustment (three independent variables of interest in these three mixed model analyses). All mixed model analyses were adjusted for age, sex, race, ethnicity, and site.</w:t>
      </w:r>
    </w:p>
    <w:p w14:paraId="39238C74" w14:textId="77777777" w:rsidR="00AB6FED" w:rsidRDefault="00AB6FED" w:rsidP="00AB6FED">
      <w:pPr>
        <w:spacing w:line="480" w:lineRule="auto"/>
      </w:pPr>
    </w:p>
    <w:sectPr w:rsidR="00AB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F7"/>
    <w:rsid w:val="00266807"/>
    <w:rsid w:val="0033435D"/>
    <w:rsid w:val="004172F7"/>
    <w:rsid w:val="00685E69"/>
    <w:rsid w:val="007B65EF"/>
    <w:rsid w:val="009F3F35"/>
    <w:rsid w:val="00AB6FED"/>
    <w:rsid w:val="00CB2300"/>
    <w:rsid w:val="00E30FD1"/>
    <w:rsid w:val="00E53DC8"/>
    <w:rsid w:val="00F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740E"/>
  <w15:chartTrackingRefBased/>
  <w15:docId w15:val="{04FF6019-BCEF-4C66-8AC0-0010667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Jha</dc:creator>
  <cp:keywords/>
  <dc:description/>
  <cp:lastModifiedBy>Manish Jha</cp:lastModifiedBy>
  <cp:revision>11</cp:revision>
  <dcterms:created xsi:type="dcterms:W3CDTF">2019-11-23T01:43:00Z</dcterms:created>
  <dcterms:modified xsi:type="dcterms:W3CDTF">2019-11-23T01:50:00Z</dcterms:modified>
</cp:coreProperties>
</file>