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D6D45" w14:textId="77777777" w:rsidR="00F24979" w:rsidRPr="00ED6DA5" w:rsidRDefault="00F24979" w:rsidP="00F24979">
      <w:pPr>
        <w:rPr>
          <w:rFonts w:asciiTheme="minorHAnsi" w:eastAsia="Times New Roman" w:hAnsiTheme="minorHAnsi"/>
          <w:color w:val="000000" w:themeColor="text1"/>
          <w:sz w:val="18"/>
          <w:szCs w:val="18"/>
        </w:rPr>
      </w:pPr>
      <w:r w:rsidRPr="00ED6DA5">
        <w:rPr>
          <w:rFonts w:asciiTheme="minorHAnsi" w:eastAsia="Times New Roman" w:hAnsiTheme="minorHAnsi"/>
          <w:b/>
          <w:color w:val="000000" w:themeColor="text1"/>
        </w:rPr>
        <w:t>Supplementary Material</w:t>
      </w:r>
      <w:bookmarkStart w:id="0" w:name="_GoBack"/>
      <w:bookmarkEnd w:id="0"/>
    </w:p>
    <w:p w14:paraId="3355CC28" w14:textId="77777777" w:rsidR="00F24979" w:rsidRPr="00ED6DA5" w:rsidRDefault="00F24979" w:rsidP="00F24979">
      <w:pPr>
        <w:rPr>
          <w:rFonts w:asciiTheme="minorHAnsi" w:eastAsia="Times New Roman" w:hAnsiTheme="minorHAnsi"/>
          <w:b/>
          <w:color w:val="000000" w:themeColor="text1"/>
          <w:sz w:val="20"/>
          <w:szCs w:val="20"/>
        </w:rPr>
      </w:pPr>
    </w:p>
    <w:p w14:paraId="7D85D712" w14:textId="77777777" w:rsidR="00F24979" w:rsidRPr="00ED6DA5" w:rsidRDefault="00F24979" w:rsidP="00F24979">
      <w:pPr>
        <w:spacing w:line="360" w:lineRule="auto"/>
        <w:jc w:val="both"/>
        <w:rPr>
          <w:rFonts w:asciiTheme="minorHAnsi" w:hAnsiTheme="minorHAnsi"/>
          <w:i/>
          <w:color w:val="000000" w:themeColor="text1"/>
        </w:rPr>
      </w:pPr>
      <w:r w:rsidRPr="00ED6DA5">
        <w:rPr>
          <w:rFonts w:asciiTheme="minorHAnsi" w:hAnsiTheme="minorHAnsi"/>
          <w:i/>
          <w:color w:val="000000" w:themeColor="text1"/>
        </w:rPr>
        <w:t>Structural MRI data acquisition</w:t>
      </w:r>
    </w:p>
    <w:p w14:paraId="1298C4C1" w14:textId="1BDF6AF3" w:rsidR="00F24979" w:rsidRPr="00ED6DA5" w:rsidRDefault="00F24979" w:rsidP="00F24979">
      <w:pPr>
        <w:spacing w:line="360" w:lineRule="auto"/>
        <w:jc w:val="both"/>
        <w:rPr>
          <w:rFonts w:asciiTheme="minorHAnsi" w:hAnsiTheme="minorHAnsi"/>
          <w:color w:val="000000" w:themeColor="text1"/>
        </w:rPr>
      </w:pPr>
      <w:r w:rsidRPr="00ED6DA5">
        <w:rPr>
          <w:rFonts w:asciiTheme="minorHAnsi" w:hAnsiTheme="minorHAnsi" w:cs="Calibri"/>
          <w:color w:val="000000" w:themeColor="text1"/>
        </w:rPr>
        <w:t>First w</w:t>
      </w:r>
      <w:r w:rsidRPr="00ED6DA5">
        <w:rPr>
          <w:rFonts w:asciiTheme="minorHAnsi" w:hAnsiTheme="minorHAnsi"/>
          <w:color w:val="000000" w:themeColor="text1"/>
        </w:rPr>
        <w:t xml:space="preserve">hole brain T1-weighted MRIs were collected before the PET scans were obtained. As part of other studies previously conducted </w:t>
      </w:r>
      <w:r w:rsidRPr="00ED6DA5">
        <w:rPr>
          <w:rFonts w:asciiTheme="minorHAnsi" w:hAnsiTheme="minorHAnsi"/>
          <w:color w:val="000000" w:themeColor="text1"/>
        </w:rPr>
        <w:fldChar w:fldCharType="begin" w:fldLock="1"/>
      </w:r>
      <w:r w:rsidR="00C715E7" w:rsidRPr="00ED6DA5">
        <w:rPr>
          <w:rFonts w:asciiTheme="minorHAnsi" w:hAnsiTheme="minorHAnsi"/>
          <w:color w:val="000000" w:themeColor="text1"/>
        </w:rPr>
        <w:instrText>ADDIN CSL_CITATION { "citationItems" : [ { "id" : "ITEM-1", "itemData" : { "DOI" : "10.1016/j.biopsych.2017.02.496", "ISSN" : "0006-3223", "author" : [ { "dropping-particle" : "Van", "family" : "Duin", "given" : "Esther D A", "non-dropping-particle" : "", "parse-names" : false, "suffix" : "" }, { "dropping-particle" : "", "family" : "Kasanova", "given" : "Zuzana", "non-dropping-particle" : "", "parse-names" : false, "suffix" : "" }, { "dropping-particle" : "", "family" : "Ceccarini", "given" : "Jenny", "non-dropping-particle" : "", "parse-names" : false, "suffix" : "" }, { "dropping-particle" : "", "family" : "Hernaus", "given" : "Dennis", "non-dropping-particle" : "", "parse-names" : false, "suffix" : "" }, { "dropping-particle" : "", "family" : "Heinzel", "given" : "Alexander", "non-dropping-particle" : "", "parse-names" : false, "suffix" : "" }, { "dropping-particle" : "", "family" : "Mottaghy", "given" : "Felix", "non-dropping-particle" : "", "parse-names" : false, "suffix" : "" }, { "dropping-particle" : "", "family" : "Booij", "given" : "Jan", "non-dropping-particle" : "", "parse-names" : false, "suffix" : "" }, { "dropping-particle" : "", "family" : "Myin-germeys", "given" : "Inez", "non-dropping-particle" : "", "parse-names" : false, "suffix" : "" }, { "dropping-particle" : "", "family" : "Kim", "given" : "Jeong", "non-dropping-particle" : "", "parse-names" : false, "suffix" : "" }, { "dropping-particle" : "", "family" : "Zhang", "given" : "Yan", "non-dropping-particle" : "", "parse-names" : false, "suffix" : "" }, { "dropping-particle" : "", "family" : "Shen", "given" : "Jun", "non-dropping-particle" : "", "parse-names" : false, "suffix" : "" }, { "dropping-particle" : "", "family" : "Kelly", "given" : "Ryan", "non-dropping-particle" : "", "parse-names" : false, "suffix" : "" }, { "dropping-particle" : "", "family" : "Zoltick", "given" : "Brad", "non-dropping-particle" : "", "parse-names" : false, "suffix" : "" }, { "dropping-particle" : "", "family" : "Weinberger", "given" : "Daniel", "non-dropping-particle" : "", "parse-names" : false, "suffix" : "" }, { "dropping-particle" : "", "family" : "Apud", "given" : "Jose", "non-dropping-particle" : "", "parse-names" : false, "suffix" : "" }, { "dropping-particle" : "", "family" : "Bell", "given" : "Morris", "non-dropping-particle" : "", "parse-names" : false, "suffix" : "" }, { "dropping-particle" : "", "family" : "Pelphrey", "given" : "Kevin", "non-dropping-particle" : "", "parse-names" : false, "suffix" : "" }, { "dropping-particle" : "", "family" : "Pearlson", "given" : "Godfrey", "non-dropping-particle" : "", "parse-names" : false, "suffix" : "" }, { "dropping-particle" : "", "family" : "Caprihan", "given" : "Arvind", "non-dropping-particle" : "", "parse-names" : false, "suffix" : "" }, { "dropping-particle" : "", "family" : "Perrone-bizzozero", "given" : "Nora I", "non-dropping-particle" : "", "parse-names" : false, "suffix" : "" }, { "dropping-particle" : "", "family" : "Bustillo", "given" : "R", "non-dropping-particle" : "", "parse-names" : false, "suffix" : "" }, { "dropping-particle" : "", "family" : "Turner", "given" : "Jessica A", "non-dropping-particle" : "", "parse-names" : false, "suffix" : "" }, { "dropping-particle" : "", "family" : "Potkin", "given" : "Steven G", "non-dropping-particle" : "", "parse-names" : false, "suffix" : "" }, { "dropping-particle" : "", "family" : "Theo", "given" : "G", "non-dropping-particle" : "", "parse-names" : false, "suffix" : "" }, { "dropping-particle" : "Van", "family" : "Erp", "given" : "M", "non-dropping-particle" : "", "parse-names" : false, "suffix" : "" }, { "dropping-particle" : "", "family" : "Mcewen", "given" : "Sarah C", "non-dropping-particle" : "", "parse-names" : false, "suffix" : "" }, { "dropping-particle" : "", "family" : "Aine", "given" : "Cheryl J", "non-dropping-particle" : "", "parse-names" : false, "suffix" : "" }, { "dropping-particle" : "", "family" : "Thoma", "given" : "J", "non-dropping-particle" : "", "parse-names" : false, "suffix" : "" }, { "dropping-particle" : "", "family" : "Ford", "given" : "Judith M", "non-dropping-particle" : "", "parse-names" : false, "suffix" : "" }, { "dropping-particle" : "", "family" : "Schulz", "given" : "Charles S", "non-dropping-particle" : "", "parse-names" : false, "suffix" : "" }, { "dropping-particle" : "", "family" : "Ho", "given" : "Choon", "non-dropping-particle" : "", "parse-names" : false, "suffix" : "" }, { "dropping-particle" : "", "family" : "Macciardi", "given" : "Fabio", "non-dropping-particle" : "", "parse-names" : false, "suffix" : "" }, { "dropping-particle" : "", "family" : "Ehrlich", "given" : "Stefan", "non-dropping-particle" : "", "parse-names" : false, "suffix" : "" } ], "container-title" : "Biological Psychiatry - Conference Abstract SOBP", "id" : "ITEM-1", "issue" : "10", "issued" : { "date-parts" : [ [ "2017" ] ] }, "page" : "S253-S254", "publisher" : "Elsevier", "title" : "Reward Learning and Dopamine Release in Adults with 22q11DS: A Study Using [18F]fallypride Positron Emission Tomography", "type" : "article-journal", "volume" : "81" }, "uris" : [ "http://www.mendeley.com/documents/?uuid=abb9ade0-8a1d-459f-82de-9a700c481a50" ] }, { "id" : "ITEM-2", "itemData" : { "author" : [ { "dropping-particle" : "", "family" : "Kasanova", "given" : "Z", "non-dropping-particle" : "", "parse-names" : false, "suffix" : "" }, { "dropping-particle" : "", "family" : "Ceccarini", "given" : "J", "non-dropping-particle" : "", "parse-names" : false, "suffix" : "" }, { "dropping-particle" : "", "family" : "Frank", "given" : "MJ", "non-dropping-particle" : "", "parse-names" : false, "suffix" : "" } ], "container-title" : "Biological", "id" : "ITEM-2", "issued" : { "date-parts" : [ [ "2017" ] ] }, "title" : "Striatal dopaminergic modulation of reinforcement learning predicts reward\u2014Oriented behavior in daily life", "type" : "article-journal" }, "uris" : [ "http://www.mendeley.com/documents/?uuid=e39e2727-d89a-3750-a3c9-ffa82950a392" ] } ], "mendeley" : { "formattedCitation" : "(Duin &lt;i&gt;et al.&lt;/i&gt; 2017; Kasanova &lt;i&gt;et al.&lt;/i&gt; 2017a)", "manualFormatting" : "(van Duin et al. 2017; Kasanova et al. 2017)", "plainTextFormattedCitation" : "(Duin et al. 2017; Kasanova et al. 2017a)", "previouslyFormattedCitation" : "(Duin et al. 2017; Z Kasanova et al. 2017)" }, "properties" : {  }, "schema" : "https://github.com/citation-style-language/schema/raw/master/csl-citation.json" }</w:instrText>
      </w:r>
      <w:r w:rsidRPr="00ED6DA5">
        <w:rPr>
          <w:rFonts w:asciiTheme="minorHAnsi" w:hAnsiTheme="minorHAnsi"/>
          <w:color w:val="000000" w:themeColor="text1"/>
        </w:rPr>
        <w:fldChar w:fldCharType="separate"/>
      </w:r>
      <w:r w:rsidRPr="00ED6DA5">
        <w:rPr>
          <w:rFonts w:asciiTheme="minorHAnsi" w:hAnsiTheme="minorHAnsi"/>
          <w:noProof/>
          <w:color w:val="000000" w:themeColor="text1"/>
        </w:rPr>
        <w:t xml:space="preserve">(van Duin </w:t>
      </w:r>
      <w:r w:rsidRPr="00ED6DA5">
        <w:rPr>
          <w:rFonts w:asciiTheme="minorHAnsi" w:hAnsiTheme="minorHAnsi"/>
          <w:i/>
          <w:noProof/>
          <w:color w:val="000000" w:themeColor="text1"/>
        </w:rPr>
        <w:t>et al.</w:t>
      </w:r>
      <w:r w:rsidRPr="00ED6DA5">
        <w:rPr>
          <w:rFonts w:asciiTheme="minorHAnsi" w:hAnsiTheme="minorHAnsi"/>
          <w:noProof/>
          <w:color w:val="000000" w:themeColor="text1"/>
        </w:rPr>
        <w:t xml:space="preserve"> 2017; Kasanova </w:t>
      </w:r>
      <w:r w:rsidRPr="00ED6DA5">
        <w:rPr>
          <w:rFonts w:asciiTheme="minorHAnsi" w:hAnsiTheme="minorHAnsi"/>
          <w:i/>
          <w:noProof/>
          <w:color w:val="000000" w:themeColor="text1"/>
        </w:rPr>
        <w:t>et al</w:t>
      </w:r>
      <w:r w:rsidRPr="00ED6DA5">
        <w:rPr>
          <w:rFonts w:asciiTheme="minorHAnsi" w:hAnsiTheme="minorHAnsi"/>
          <w:noProof/>
          <w:color w:val="000000" w:themeColor="text1"/>
        </w:rPr>
        <w:t>. 2017)</w:t>
      </w:r>
      <w:r w:rsidRPr="00ED6DA5">
        <w:rPr>
          <w:rFonts w:asciiTheme="minorHAnsi" w:hAnsiTheme="minorHAnsi"/>
          <w:color w:val="000000" w:themeColor="text1"/>
        </w:rPr>
        <w:fldChar w:fldCharType="end"/>
      </w:r>
      <w:r w:rsidRPr="00ED6DA5">
        <w:rPr>
          <w:rFonts w:asciiTheme="minorHAnsi" w:hAnsiTheme="minorHAnsi"/>
          <w:color w:val="000000" w:themeColor="text1"/>
        </w:rPr>
        <w:t xml:space="preserve">, whole brain high-resolution T1-weighted MRIs were collected on 3 different machines. In the case of 4 participants (only 22q11DS), acquisition was performed in previous research, using a Philips 3 Tesla Intera MRI system equipped with a 6-channel sense head coil (scan parameters: repetition time (TR) = 9.8 ms, echo time (TE) = 4.6 ms; matrix size = 192 × 152; slice thickness = 1.2 mm; 120 slices). For 9 </w:t>
      </w:r>
      <w:r w:rsidR="005F4460" w:rsidRPr="00ED6DA5">
        <w:rPr>
          <w:rFonts w:asciiTheme="minorHAnsi" w:hAnsiTheme="minorHAnsi"/>
          <w:color w:val="000000" w:themeColor="text1"/>
        </w:rPr>
        <w:t xml:space="preserve">participants (only 22q11DS), a </w:t>
      </w:r>
      <w:r w:rsidRPr="00ED6DA5">
        <w:rPr>
          <w:rFonts w:asciiTheme="minorHAnsi" w:hAnsiTheme="minorHAnsi"/>
          <w:color w:val="000000" w:themeColor="text1"/>
        </w:rPr>
        <w:t xml:space="preserve">high-resolution T1-weighted MRI scan was acquired (as part of another study) on a Siemens 7 Tesla Magnetom whole body MR system equipped with a 32-channel head coil. T1-weighted images were acquired using a MP2RAGE sequence (TR = 4500 ms; TE = 2.39 ms; matrix size = 256 x 256; slice thickness = 0.9 mm; 192 slices; </w:t>
      </w:r>
      <w:r w:rsidRPr="00ED6DA5">
        <w:rPr>
          <w:rFonts w:asciiTheme="minorHAnsi" w:hAnsiTheme="minorHAnsi"/>
          <w:color w:val="000000" w:themeColor="text1"/>
          <w:shd w:val="clear" w:color="auto" w:fill="FFFFFF"/>
        </w:rPr>
        <w:t>generalized autocalibrating partially parallel acquisitions (GRAPPA) = 3</w:t>
      </w:r>
      <w:r w:rsidRPr="00ED6DA5">
        <w:rPr>
          <w:rFonts w:asciiTheme="minorHAnsi" w:hAnsiTheme="minorHAnsi"/>
          <w:color w:val="000000" w:themeColor="text1"/>
        </w:rPr>
        <w:t>). Finally, for 17 participants (n=16 controls, and n=1 22q11DS participant), a Siemens 3 Tesla scanner (Siemens Healthcare, Munich, Germany) was used, using the Magnetization Prepared Rapid Acquisition Gradient-Echo (MP-RAGE) sequence (TR = 1900 ms; TE = 2.52 ms; matrix dimensions = 256 x 256; slice thickness = 1 mm; 176 slices).</w:t>
      </w:r>
    </w:p>
    <w:p w14:paraId="09C0D34B" w14:textId="77777777" w:rsidR="00F24979" w:rsidRPr="00ED6DA5" w:rsidRDefault="00F24979" w:rsidP="00F24979">
      <w:pPr>
        <w:spacing w:line="360" w:lineRule="auto"/>
        <w:jc w:val="both"/>
        <w:rPr>
          <w:rFonts w:asciiTheme="minorHAnsi" w:hAnsiTheme="minorHAnsi"/>
          <w:i/>
          <w:color w:val="000000" w:themeColor="text1"/>
        </w:rPr>
      </w:pPr>
    </w:p>
    <w:p w14:paraId="45769A0B" w14:textId="77777777" w:rsidR="00F24979" w:rsidRPr="00ED6DA5" w:rsidRDefault="00F24979" w:rsidP="00F24979">
      <w:pPr>
        <w:spacing w:line="360" w:lineRule="auto"/>
        <w:jc w:val="both"/>
        <w:rPr>
          <w:rFonts w:asciiTheme="minorHAnsi" w:hAnsiTheme="minorHAnsi"/>
          <w:i/>
          <w:color w:val="000000" w:themeColor="text1"/>
        </w:rPr>
      </w:pPr>
      <w:r w:rsidRPr="00ED6DA5">
        <w:rPr>
          <w:rFonts w:asciiTheme="minorHAnsi" w:hAnsiTheme="minorHAnsi"/>
          <w:i/>
          <w:color w:val="000000" w:themeColor="text1"/>
        </w:rPr>
        <w:t>PET data acquisition</w:t>
      </w:r>
    </w:p>
    <w:p w14:paraId="720081DE" w14:textId="481463E2" w:rsidR="00F24979" w:rsidRPr="00ED6DA5" w:rsidRDefault="00F24979" w:rsidP="00F24979">
      <w:pPr>
        <w:spacing w:line="360" w:lineRule="auto"/>
        <w:jc w:val="both"/>
        <w:rPr>
          <w:rFonts w:asciiTheme="minorHAnsi" w:hAnsiTheme="minorHAnsi"/>
          <w:color w:val="000000" w:themeColor="text1"/>
        </w:rPr>
      </w:pPr>
      <w:r w:rsidRPr="00ED6DA5">
        <w:rPr>
          <w:rFonts w:asciiTheme="minorHAnsi" w:hAnsiTheme="minorHAnsi"/>
          <w:color w:val="000000" w:themeColor="text1"/>
        </w:rPr>
        <w:t xml:space="preserve">At least 90 minutes before the start of the PET scan, a non-magnetic intravenous cannula was placed in the antecubital vein of the participant’s arm for the injection of the radiotracer (Figure 1). To minimize head movement, participants were positioned on the scanner bed with their head fixated using a firm strap. Before the start of the PET acquisition protocol, a 10-minute low dose </w:t>
      </w:r>
      <w:r w:rsidRPr="00ED6DA5">
        <w:rPr>
          <w:rFonts w:asciiTheme="minorHAnsi" w:hAnsiTheme="minorHAnsi" w:cs="Calibri"/>
          <w:color w:val="000000" w:themeColor="text1"/>
          <w:position w:val="13"/>
          <w:sz w:val="16"/>
          <w:szCs w:val="16"/>
        </w:rPr>
        <w:t>68</w:t>
      </w:r>
      <w:r w:rsidRPr="00ED6DA5">
        <w:rPr>
          <w:rFonts w:asciiTheme="minorHAnsi" w:hAnsiTheme="minorHAnsi" w:cs="Calibri"/>
          <w:color w:val="000000" w:themeColor="text1"/>
        </w:rPr>
        <w:t>Ge/</w:t>
      </w:r>
      <w:r w:rsidRPr="00ED6DA5">
        <w:rPr>
          <w:rFonts w:asciiTheme="minorHAnsi" w:hAnsiTheme="minorHAnsi" w:cs="Calibri"/>
          <w:color w:val="000000" w:themeColor="text1"/>
          <w:position w:val="13"/>
          <w:sz w:val="16"/>
          <w:szCs w:val="16"/>
        </w:rPr>
        <w:t>68</w:t>
      </w:r>
      <w:r w:rsidRPr="00ED6DA5">
        <w:rPr>
          <w:rFonts w:asciiTheme="minorHAnsi" w:hAnsiTheme="minorHAnsi" w:cs="Calibri"/>
          <w:color w:val="000000" w:themeColor="text1"/>
        </w:rPr>
        <w:t xml:space="preserve">Ga </w:t>
      </w:r>
      <w:r w:rsidRPr="00ED6DA5">
        <w:rPr>
          <w:rFonts w:asciiTheme="minorHAnsi" w:hAnsiTheme="minorHAnsi"/>
          <w:color w:val="000000" w:themeColor="text1"/>
        </w:rPr>
        <w:t xml:space="preserve">transmission scan was obtained, followed by the different PET paradigm conditions (Figure 1). In line with other comparable studies </w:t>
      </w:r>
      <w:r w:rsidRPr="00ED6DA5">
        <w:rPr>
          <w:rFonts w:asciiTheme="minorHAnsi" w:hAnsiTheme="minorHAnsi"/>
          <w:color w:val="000000" w:themeColor="text1"/>
        </w:rPr>
        <w:fldChar w:fldCharType="begin" w:fldLock="1"/>
      </w:r>
      <w:r w:rsidR="00C715E7" w:rsidRPr="00ED6DA5">
        <w:rPr>
          <w:rFonts w:asciiTheme="minorHAnsi" w:hAnsiTheme="minorHAnsi"/>
          <w:color w:val="000000" w:themeColor="text1"/>
        </w:rPr>
        <w:instrText>ADDIN CSL_CITATION { "citationItems" : [ { "id" : "ITEM-1", "itemData" : { "DOI" : "10.1016/j.neuroimage.2011.07.030", "abstract" : "a b s t r a c t Rodent studies suggest that prefrontal dopamine neurotransmission plays an important role in the neural processing of psychosocial stress. Human studies investigating stress-induced changes in dopamine levels, however, have focused solely on striatal dopamine transmission. The aim of this study was to investigate in vivo dopamine release in the human prefrontal cortex in response to a psychosocial stress challenge, using the highly selective dopamine D 2/3 PET radioligand [ 18 F]fallypride in healthy subjects. Twelve healthy subjects (age (y): 39.8; SD = 15.8) underwent a single dynamic Positron Emission Tomography (PET) scanning session after intravenous administration of 185.2 (SD = 10.2) MBq [ 18 F]fallypride. Psychosocial stress was initiated at 100 min postinjection. PET data were analyzed using the linearized simplified reference region model (LSRRM), which accounts for time-dependent changes in [ 18 F]fallypride displacement. Voxel-based statistical maps, representing specific D 2/3 binding changes, were computed to localize areas with increased ligand displacement after task initiation, reflecting dopamine release. The psychosocial stress challenge induced detectable amounts of dopamine release throughout the prefrontal cortex, with dopaminergic activity in bilateral ventromedial prefrontal cortex being associated with subjectively rated experiences of psychosocial stress. The novel finding that a mild psychosocial stress in humans induces increased levels of endogenous dopamine in the PFC indicates that the dynamics of the dopamine-related stress response cannot be interpreted by focusing on mesolimbic brain regions alone.", "author" : [ { "dropping-particle" : "", "family" : "Lataster", "given" : "Johan", "non-dropping-particle" : "", "parse-names" : false, "suffix" : "" }, { "dropping-particle" : "", "family" : "Collip", "given" : "Dina", "non-dropping-particle" : "", "parse-names" : false, "suffix" : "" }, { "dropping-particle" : "", "family" : "Ceccarini", "given" : "Jenny", "non-dropping-particle" : "", "parse-names" : false, "suffix" : "" }, { "dropping-particle" : "", "family" : "Haas", "given" : "David", "non-dropping-particle" : "", "parse-names" : false, "suffix" : "" }, { "dropping-particle" : "", "family" : "Booij", "given" : "Linda", "non-dropping-particle" : "", "parse-names" : false, "suffix" : "" }, { "dropping-particle" : "", "family" : "Os", "given" : "Jim", "non-dropping-particle" : "Van", "parse-names" : false, "suffix" : "" }, { "dropping-particle" : "", "family" : "Pruessner", "given" : "Jens", "non-dropping-particle" : "", "parse-names" : false, "suffix" : "" }, { "dropping-particle" : "Van", "family" : "Laere", "given" : "Koen", "non-dropping-particle" : "", "parse-names" : false, "suffix" : "" }, { "dropping-particle" : "", "family" : "Myin-Germeys", "given" : "Inez", "non-dropping-particle" : "", "parse-names" : false, "suffix" : "" } ], "container-title" : "NeuroImage", "id" : "ITEM-1", "issued" : { "date-parts" : [ [ "2011" ] ] }, "page" : "1081-1089", "title" : "Psychosocial stress is associated with in vivo dopamine release in human ventromedial prefrontal cortex: A positron emission tomography study using [ 18 F]fallypride", "type" : "article-journal", "volume" : "58" }, "uris" : [ "http://www.mendeley.com/documents/?uuid=a3e0a3da-0f7f-3367-8211-18da19e625d7" ] }, { "id" : "ITEM-2", "itemData" : { "DOI" : "10.1371/journal.pone.0065662", "ISBN" : "1932-6203 (Electronic)\\r1932-6203 (Linking)", "ISSN" : "19326203", "PMID" : "23799032", "abstract" : "Catechol-O-methyltransferase (COMT) plays an essential role in degradation of extracellular dopamine in prefrontal regions of the brain. Although a polymorphism in this gene, COMT Val(158)Met, affects human behavior in response to stress little is known about its effect on dopaminergic activity associated with the human stress response, which may be of interest for stress-related psychiatric disorders such as psychosis. We aimed to investigate the effect of variations in COMT genotype on in vivo measures of stress-induced prefrontal cortex (PFC) dopaminergic processing and subjective stress responses. A combined sample of healthy controls and healthy first-degree relatives of psychosis patients (n\u200a=\u200a26) were subjected to an [(18)F]fallypride Positron Emission Tomography scan. Psychosocial stress during the scan was induced using the Montreal Imaging Stress Task and subjective stress was assessed every 12 minutes. Parametric t-maps, generated using the linear extension of the simplified reference region model, revealed an effect of COMT genotype on the spatial extent of [(18)F]fallypride displacement. Detected effects of exposure to psychosocial stress were unilateral and remained restricted to the left superior and right inferior frontal gyrus, with Met-hetero- and homozygotes showing less [(18)F]fallypride displacement than Val-homozygotes. Additionally, Met-hetero- and homozygotes experienced larger subjective stress responses than Val-homozygotes. The direction of the effects remained the same when the data was analyzed separately for controls and first-degree relatives. The human stress response may be mediated in part by COMT-dependent dopaminergic PFC activity, providing speculation for the neurobiology underlying COMT-dependent differences in human behaviour following stress. Implications of these results for stress-related psychopathology and models of dopaminergic functioning are discussed.", "author" : [ { "dropping-particle" : "", "family" : "Hernaus", "given" : "Dennis", "non-dropping-particle" : "", "parse-names" : false, "suffix" : "" }, { "dropping-particle" : "", "family" : "Collip", "given" : "Dina", "non-dropping-particle" : "", "parse-names" : false, "suffix" : "" }, { "dropping-particle" : "", "family" : "Lataster", "given" : "Johan", "non-dropping-particle" : "", "parse-names" : false, "suffix" : "" }, { "dropping-particle" : "", "family" : "Ceccarini", "given" : "Jenny", "non-dropping-particle" : "", "parse-names" : false, "suffix" : "" }, { "dropping-particle" : "", "family" : "Kenis", "given" : "Gunther", "non-dropping-particle" : "", "parse-names" : false, "suffix" : "" }, { "dropping-particle" : "", "family" : "Booij", "given" : "Linda", "non-dropping-particle" : "", "parse-names" : false, "suffix" : "" }, { "dropping-particle" : "", "family" : "Pruessner", "given" : "Jens", "non-dropping-particle" : "", "parse-names" : false, "suffix" : "" }, { "dropping-particle" : "", "family" : "Laere", "given" : "Koen", "non-dropping-particle" : "van", "parse-names" : false, "suffix" : "" }, { "dropping-particle" : "", "family" : "Winkel", "given" : "Ruud", "non-dropping-particle" : "van", "parse-names" : false, "suffix" : "" }, { "dropping-particle" : "", "family" : "Os", "given" : "Jim", "non-dropping-particle" : "van", "parse-names" : false, "suffix" : "" }, { "dropping-particle" : "", "family" : "Myin-Germeys", "given" : "Inez", "non-dropping-particle" : "", "parse-names" : false, "suffix" : "" } ], "container-title" : "PLoS ONE", "id" : "ITEM-2", "issue" : "6", "issued" : { "date-parts" : [ [ "2013" ] ] }, "title" : "COMT Val158Met Genotype Selectively Alters Prefrontal [18F]Fallypride Displacement and Subjective Feelings of Stress in Response to a Psychosocial Stress Challenge", "type" : "article-journal", "volume" : "8" }, "uris" : [ "http://www.mendeley.com/documents/?uuid=17ada136-0eeb-4110-aba7-76bc4e0ab03f" ] } ], "mendeley" : { "formattedCitation" : "(Lataster &lt;i&gt;et al.&lt;/i&gt; 2011; Hernaus &lt;i&gt;et al.&lt;/i&gt; 2013)", "plainTextFormattedCitation" : "(Lataster et al. 2011; Hernaus et al. 2013)", "previouslyFormattedCitation" : "(Lataster et al. 2011; Hernaus et al. 2013)" }, "properties" : {  }, "schema" : "https://github.com/citation-style-language/schema/raw/master/csl-citation.json" }</w:instrText>
      </w:r>
      <w:r w:rsidRPr="00ED6DA5">
        <w:rPr>
          <w:rFonts w:asciiTheme="minorHAnsi" w:hAnsiTheme="minorHAnsi"/>
          <w:color w:val="000000" w:themeColor="text1"/>
        </w:rPr>
        <w:fldChar w:fldCharType="separate"/>
      </w:r>
      <w:r w:rsidR="00C715E7" w:rsidRPr="00ED6DA5">
        <w:rPr>
          <w:rFonts w:asciiTheme="minorHAnsi" w:hAnsiTheme="minorHAnsi"/>
          <w:noProof/>
          <w:color w:val="000000" w:themeColor="text1"/>
        </w:rPr>
        <w:t xml:space="preserve">(Lataster </w:t>
      </w:r>
      <w:r w:rsidR="00C715E7" w:rsidRPr="00ED6DA5">
        <w:rPr>
          <w:rFonts w:asciiTheme="minorHAnsi" w:hAnsiTheme="minorHAnsi"/>
          <w:i/>
          <w:noProof/>
          <w:color w:val="000000" w:themeColor="text1"/>
        </w:rPr>
        <w:t>et al.</w:t>
      </w:r>
      <w:r w:rsidR="00C715E7" w:rsidRPr="00ED6DA5">
        <w:rPr>
          <w:rFonts w:asciiTheme="minorHAnsi" w:hAnsiTheme="minorHAnsi"/>
          <w:noProof/>
          <w:color w:val="000000" w:themeColor="text1"/>
        </w:rPr>
        <w:t xml:space="preserve"> 2011; Hernaus </w:t>
      </w:r>
      <w:r w:rsidR="00C715E7" w:rsidRPr="00ED6DA5">
        <w:rPr>
          <w:rFonts w:asciiTheme="minorHAnsi" w:hAnsiTheme="minorHAnsi"/>
          <w:i/>
          <w:noProof/>
          <w:color w:val="000000" w:themeColor="text1"/>
        </w:rPr>
        <w:t>et al.</w:t>
      </w:r>
      <w:r w:rsidR="00C715E7" w:rsidRPr="00ED6DA5">
        <w:rPr>
          <w:rFonts w:asciiTheme="minorHAnsi" w:hAnsiTheme="minorHAnsi"/>
          <w:noProof/>
          <w:color w:val="000000" w:themeColor="text1"/>
        </w:rPr>
        <w:t xml:space="preserve"> 2013)</w:t>
      </w:r>
      <w:r w:rsidRPr="00ED6DA5">
        <w:rPr>
          <w:rFonts w:asciiTheme="minorHAnsi" w:hAnsiTheme="minorHAnsi"/>
          <w:color w:val="000000" w:themeColor="text1"/>
        </w:rPr>
        <w:fldChar w:fldCharType="end"/>
      </w:r>
      <w:r w:rsidRPr="00ED6DA5">
        <w:rPr>
          <w:rFonts w:asciiTheme="minorHAnsi" w:hAnsiTheme="minorHAnsi"/>
          <w:color w:val="000000" w:themeColor="text1"/>
        </w:rPr>
        <w:t xml:space="preserve">, a single bolus infusion PET paradigm was utilized, using the high-affinity and selective DA </w:t>
      </w:r>
      <w:r w:rsidRPr="00ED6DA5">
        <w:rPr>
          <w:rFonts w:asciiTheme="minorHAnsi" w:hAnsiTheme="minorHAnsi" w:cs="Calibri"/>
          <w:color w:val="000000" w:themeColor="text1"/>
        </w:rPr>
        <w:t>D</w:t>
      </w:r>
      <w:r w:rsidRPr="00ED6DA5">
        <w:rPr>
          <w:rFonts w:asciiTheme="minorHAnsi" w:hAnsiTheme="minorHAnsi" w:cs="Calibri"/>
          <w:color w:val="000000" w:themeColor="text1"/>
          <w:vertAlign w:val="subscript"/>
        </w:rPr>
        <w:t>2/3</w:t>
      </w:r>
      <w:r w:rsidRPr="00ED6DA5">
        <w:rPr>
          <w:rFonts w:asciiTheme="minorHAnsi" w:hAnsiTheme="minorHAnsi"/>
          <w:color w:val="000000" w:themeColor="text1"/>
        </w:rPr>
        <w:t xml:space="preserve">R radiotracer </w:t>
      </w:r>
      <w:r w:rsidRPr="00ED6DA5">
        <w:rPr>
          <w:rFonts w:asciiTheme="minorHAnsi" w:hAnsiTheme="minorHAnsi" w:cs="Calibri"/>
          <w:color w:val="000000" w:themeColor="text1"/>
        </w:rPr>
        <w:t>[</w:t>
      </w:r>
      <w:r w:rsidRPr="00ED6DA5">
        <w:rPr>
          <w:rFonts w:asciiTheme="minorHAnsi" w:hAnsiTheme="minorHAnsi" w:cs="Calibri"/>
          <w:color w:val="000000" w:themeColor="text1"/>
          <w:position w:val="2"/>
          <w:vertAlign w:val="superscript"/>
        </w:rPr>
        <w:t>18</w:t>
      </w:r>
      <w:r w:rsidRPr="00ED6DA5">
        <w:rPr>
          <w:rFonts w:asciiTheme="minorHAnsi" w:hAnsiTheme="minorHAnsi" w:cs="Calibri"/>
          <w:color w:val="000000" w:themeColor="text1"/>
        </w:rPr>
        <w:t>F]fallypride</w:t>
      </w:r>
      <w:r w:rsidRPr="00ED6DA5">
        <w:rPr>
          <w:rFonts w:asciiTheme="minorHAnsi" w:hAnsiTheme="minorHAnsi"/>
          <w:color w:val="000000" w:themeColor="text1"/>
        </w:rPr>
        <w:t xml:space="preserve">. More details on the modification of the </w:t>
      </w:r>
      <w:r w:rsidRPr="00ED6DA5">
        <w:rPr>
          <w:rFonts w:asciiTheme="minorHAnsi" w:hAnsiTheme="minorHAnsi" w:cs="Calibri"/>
          <w:color w:val="000000" w:themeColor="text1"/>
        </w:rPr>
        <w:t>[</w:t>
      </w:r>
      <w:r w:rsidRPr="00ED6DA5">
        <w:rPr>
          <w:rFonts w:asciiTheme="minorHAnsi" w:hAnsiTheme="minorHAnsi" w:cs="Calibri"/>
          <w:color w:val="000000" w:themeColor="text1"/>
          <w:position w:val="2"/>
          <w:vertAlign w:val="superscript"/>
        </w:rPr>
        <w:t>18</w:t>
      </w:r>
      <w:r w:rsidRPr="00ED6DA5">
        <w:rPr>
          <w:rFonts w:asciiTheme="minorHAnsi" w:hAnsiTheme="minorHAnsi" w:cs="Calibri"/>
          <w:color w:val="000000" w:themeColor="text1"/>
        </w:rPr>
        <w:t>F]fallypride</w:t>
      </w:r>
      <w:r w:rsidRPr="00ED6DA5">
        <w:rPr>
          <w:rFonts w:asciiTheme="minorHAnsi" w:hAnsiTheme="minorHAnsi"/>
          <w:color w:val="000000" w:themeColor="text1"/>
        </w:rPr>
        <w:t xml:space="preserve"> radiosynthesis method are described previously </w:t>
      </w:r>
      <w:r w:rsidRPr="00ED6DA5">
        <w:rPr>
          <w:rFonts w:asciiTheme="minorHAnsi" w:hAnsiTheme="minorHAnsi"/>
          <w:color w:val="000000" w:themeColor="text1"/>
        </w:rPr>
        <w:fldChar w:fldCharType="begin" w:fldLock="1"/>
      </w:r>
      <w:r w:rsidR="00C715E7" w:rsidRPr="00ED6DA5">
        <w:rPr>
          <w:rFonts w:asciiTheme="minorHAnsi" w:hAnsiTheme="minorHAnsi"/>
          <w:color w:val="000000" w:themeColor="text1"/>
        </w:rPr>
        <w:instrText>ADDIN CSL_CITATION { "citationItems" : [ { "id" : "ITEM-1", "itemData" : { "DOI" : "10.1016/j.neuroimage.2011.07.030", "abstract" : "a b s t r a c t Rodent studies suggest that prefrontal dopamine neurotransmission plays an important role in the neural processing of psychosocial stress. Human studies investigating stress-induced changes in dopamine levels, however, have focused solely on striatal dopamine transmission. The aim of this study was to investigate in vivo dopamine release in the human prefrontal cortex in response to a psychosocial stress challenge, using the highly selective dopamine D 2/3 PET radioligand [ 18 F]fallypride in healthy subjects. Twelve healthy subjects (age (y): 39.8; SD = 15.8) underwent a single dynamic Positron Emission Tomography (PET) scanning session after intravenous administration of 185.2 (SD = 10.2) MBq [ 18 F]fallypride. Psychosocial stress was initiated at 100 min postinjection. PET data were analyzed using the linearized simplified reference region model (LSRRM), which accounts for time-dependent changes in [ 18 F]fallypride displacement. Voxel-based statistical maps, representing specific D 2/3 binding changes, were computed to localize areas with increased ligand displacement after task initiation, reflecting dopamine release. The psychosocial stress challenge induced detectable amounts of dopamine release throughout the prefrontal cortex, with dopaminergic activity in bilateral ventromedial prefrontal cortex being associated with subjectively rated experiences of psychosocial stress. The novel finding that a mild psychosocial stress in humans induces increased levels of endogenous dopamine in the PFC indicates that the dynamics of the dopamine-related stress response cannot be interpreted by focusing on mesolimbic brain regions alone.", "author" : [ { "dropping-particle" : "", "family" : "Lataster", "given" : "Johan", "non-dropping-particle" : "", "parse-names" : false, "suffix" : "" }, { "dropping-particle" : "", "family" : "Collip", "given" : "Dina", "non-dropping-particle" : "", "parse-names" : false, "suffix" : "" }, { "dropping-particle" : "", "family" : "Ceccarini", "given" : "Jenny", "non-dropping-particle" : "", "parse-names" : false, "suffix" : "" }, { "dropping-particle" : "", "family" : "Haas", "given" : "David", "non-dropping-particle" : "", "parse-names" : false, "suffix" : "" }, { "dropping-particle" : "", "family" : "Booij", "given" : "Linda", "non-dropping-particle" : "", "parse-names" : false, "suffix" : "" }, { "dropping-particle" : "", "family" : "Os", "given" : "Jim", "non-dropping-particle" : "Van", "parse-names" : false, "suffix" : "" }, { "dropping-particle" : "", "family" : "Pruessner", "given" : "Jens", "non-dropping-particle" : "", "parse-names" : false, "suffix" : "" }, { "dropping-particle" : "Van", "family" : "Laere", "given" : "Koen", "non-dropping-particle" : "", "parse-names" : false, "suffix" : "" }, { "dropping-particle" : "", "family" : "Myin-Germeys", "given" : "Inez", "non-dropping-particle" : "", "parse-names" : false, "suffix" : "" } ], "container-title" : "NeuroImage", "id" : "ITEM-1", "issued" : { "date-parts" : [ [ "2011" ] ] }, "page" : "1081-1089", "title" : "Psychosocial stress is associated with in vivo dopamine release in human ventromedial prefrontal cortex: A positron emission tomography study using [ 18 F]fallypride", "type" : "article-journal", "volume" : "58" }, "uris" : [ "http://www.mendeley.com/documents/?uuid=a3e0a3da-0f7f-3367-8211-18da19e625d7" ] } ], "mendeley" : { "formattedCitation" : "(Lataster &lt;i&gt;et al.&lt;/i&gt; 2011)", "plainTextFormattedCitation" : "(Lataster et al. 2011)", "previouslyFormattedCitation" : "(Lataster et al. 2011)" }, "properties" : {  }, "schema" : "https://github.com/citation-style-language/schema/raw/master/csl-citation.json" }</w:instrText>
      </w:r>
      <w:r w:rsidRPr="00ED6DA5">
        <w:rPr>
          <w:rFonts w:asciiTheme="minorHAnsi" w:hAnsiTheme="minorHAnsi"/>
          <w:color w:val="000000" w:themeColor="text1"/>
        </w:rPr>
        <w:fldChar w:fldCharType="separate"/>
      </w:r>
      <w:r w:rsidR="00C715E7" w:rsidRPr="00ED6DA5">
        <w:rPr>
          <w:rFonts w:asciiTheme="minorHAnsi" w:hAnsiTheme="minorHAnsi"/>
          <w:noProof/>
          <w:color w:val="000000" w:themeColor="text1"/>
        </w:rPr>
        <w:t xml:space="preserve">(Lataster </w:t>
      </w:r>
      <w:r w:rsidR="00C715E7" w:rsidRPr="00ED6DA5">
        <w:rPr>
          <w:rFonts w:asciiTheme="minorHAnsi" w:hAnsiTheme="minorHAnsi"/>
          <w:i/>
          <w:noProof/>
          <w:color w:val="000000" w:themeColor="text1"/>
        </w:rPr>
        <w:t>et al.</w:t>
      </w:r>
      <w:r w:rsidR="00C715E7" w:rsidRPr="00ED6DA5">
        <w:rPr>
          <w:rFonts w:asciiTheme="minorHAnsi" w:hAnsiTheme="minorHAnsi"/>
          <w:noProof/>
          <w:color w:val="000000" w:themeColor="text1"/>
        </w:rPr>
        <w:t xml:space="preserve"> 2011)</w:t>
      </w:r>
      <w:r w:rsidRPr="00ED6DA5">
        <w:rPr>
          <w:rFonts w:asciiTheme="minorHAnsi" w:hAnsiTheme="minorHAnsi"/>
          <w:color w:val="000000" w:themeColor="text1"/>
        </w:rPr>
        <w:fldChar w:fldCharType="end"/>
      </w:r>
      <w:r w:rsidRPr="00ED6DA5">
        <w:rPr>
          <w:rFonts w:asciiTheme="minorHAnsi" w:hAnsiTheme="minorHAnsi"/>
          <w:color w:val="000000" w:themeColor="text1"/>
        </w:rPr>
        <w:t xml:space="preserve">. Using a slow </w:t>
      </w:r>
      <w:r w:rsidRPr="00ED6DA5">
        <w:rPr>
          <w:rFonts w:asciiTheme="minorHAnsi" w:hAnsiTheme="minorHAnsi"/>
          <w:color w:val="000000" w:themeColor="text1"/>
        </w:rPr>
        <w:lastRenderedPageBreak/>
        <w:t xml:space="preserve">intravenous bolus administration, participants received </w:t>
      </w:r>
      <w:r w:rsidRPr="00ED6DA5">
        <w:rPr>
          <w:rFonts w:asciiTheme="minorHAnsi" w:hAnsiTheme="minorHAnsi" w:cs="Calibri"/>
          <w:color w:val="000000" w:themeColor="text1"/>
        </w:rPr>
        <w:t>[</w:t>
      </w:r>
      <w:r w:rsidRPr="00ED6DA5">
        <w:rPr>
          <w:rFonts w:asciiTheme="minorHAnsi" w:hAnsiTheme="minorHAnsi" w:cs="Calibri"/>
          <w:color w:val="000000" w:themeColor="text1"/>
          <w:position w:val="2"/>
          <w:vertAlign w:val="superscript"/>
        </w:rPr>
        <w:t>18</w:t>
      </w:r>
      <w:r w:rsidRPr="00ED6DA5">
        <w:rPr>
          <w:rFonts w:asciiTheme="minorHAnsi" w:hAnsiTheme="minorHAnsi" w:cs="Calibri"/>
          <w:color w:val="000000" w:themeColor="text1"/>
        </w:rPr>
        <w:t>F]fallypride</w:t>
      </w:r>
      <w:r w:rsidRPr="00ED6DA5">
        <w:rPr>
          <w:rFonts w:asciiTheme="minorHAnsi" w:hAnsiTheme="minorHAnsi"/>
          <w:color w:val="000000" w:themeColor="text1"/>
        </w:rPr>
        <w:t xml:space="preserve"> (mean injected dose = 202.3 MBq, SD = 6.88 MBq; </w:t>
      </w:r>
      <w:r w:rsidRPr="00ED6DA5">
        <w:rPr>
          <w:rFonts w:asciiTheme="minorHAnsi" w:eastAsia="Times New Roman" w:hAnsiTheme="minorHAnsi"/>
          <w:color w:val="000000" w:themeColor="text1"/>
          <w:shd w:val="clear" w:color="auto" w:fill="FFFFFF"/>
        </w:rPr>
        <w:t>specific radioactivity &gt; 3.7 GBq/µmol; radiochemical purity &gt; 99.7%).</w:t>
      </w:r>
      <w:r w:rsidRPr="00ED6DA5">
        <w:rPr>
          <w:rFonts w:asciiTheme="minorHAnsi" w:hAnsiTheme="minorHAnsi"/>
          <w:color w:val="000000" w:themeColor="text1"/>
        </w:rPr>
        <w:t xml:space="preserve"> The injection of the radiotracer was immediately followed by the collection the dynamic emission scans in three-dimensional mode, using a Siemens ECAT EXACT HR+ scanner (Siemens-CTY, Knoxville, TN, USA). </w:t>
      </w:r>
    </w:p>
    <w:p w14:paraId="188314BE" w14:textId="6B8F8319" w:rsidR="00F24979" w:rsidRPr="00ED6DA5" w:rsidRDefault="00F24979" w:rsidP="00F24979">
      <w:pPr>
        <w:spacing w:line="360" w:lineRule="auto"/>
        <w:ind w:firstLine="708"/>
        <w:jc w:val="both"/>
        <w:rPr>
          <w:rFonts w:asciiTheme="minorHAnsi" w:eastAsia="Times New Roman" w:hAnsiTheme="minorHAnsi"/>
          <w:color w:val="000000" w:themeColor="text1"/>
        </w:rPr>
      </w:pPr>
      <w:r w:rsidRPr="00ED6DA5">
        <w:rPr>
          <w:rFonts w:asciiTheme="minorHAnsi" w:hAnsiTheme="minorHAnsi"/>
          <w:color w:val="000000" w:themeColor="text1"/>
        </w:rPr>
        <w:t xml:space="preserve">The entire original PET acquisition protocol lasted 180 minutes in order to be able to obtain reliable estimates for both striatal and extrastriatal reward-induced DA release </w:t>
      </w:r>
      <w:r w:rsidRPr="00ED6DA5">
        <w:rPr>
          <w:rFonts w:asciiTheme="minorHAnsi" w:hAnsiTheme="minorHAnsi"/>
          <w:color w:val="000000" w:themeColor="text1"/>
        </w:rPr>
        <w:fldChar w:fldCharType="begin" w:fldLock="1"/>
      </w:r>
      <w:r w:rsidR="00C715E7" w:rsidRPr="00ED6DA5">
        <w:rPr>
          <w:rFonts w:asciiTheme="minorHAnsi" w:hAnsiTheme="minorHAnsi"/>
          <w:color w:val="000000" w:themeColor="text1"/>
        </w:rPr>
        <w:instrText>ADDIN CSL_CITATION { "citationItems" : [ { "id" : "ITEM-1", "itemData" : { "DOI" : "10.1016/j.biopsych.2017.02.496", "ISSN" : "0006-3223", "author" : [ { "dropping-particle" : "Van", "family" : "Duin", "given" : "Esther D A", "non-dropping-particle" : "", "parse-names" : false, "suffix" : "" }, { "dropping-particle" : "", "family" : "Kasanova", "given" : "Zuzana", "non-dropping-particle" : "", "parse-names" : false, "suffix" : "" }, { "dropping-particle" : "", "family" : "Ceccarini", "given" : "Jenny", "non-dropping-particle" : "", "parse-names" : false, "suffix" : "" }, { "dropping-particle" : "", "family" : "Hernaus", "given" : "Dennis", "non-dropping-particle" : "", "parse-names" : false, "suffix" : "" }, { "dropping-particle" : "", "family" : "Heinzel", "given" : "Alexander", "non-dropping-particle" : "", "parse-names" : false, "suffix" : "" }, { "dropping-particle" : "", "family" : "Mottaghy", "given" : "Felix", "non-dropping-particle" : "", "parse-names" : false, "suffix" : "" }, { "dropping-particle" : "", "family" : "Booij", "given" : "Jan", "non-dropping-particle" : "", "parse-names" : false, "suffix" : "" }, { "dropping-particle" : "", "family" : "Myin-germeys", "given" : "Inez", "non-dropping-particle" : "", "parse-names" : false, "suffix" : "" }, { "dropping-particle" : "", "family" : "Kim", "given" : "Jeong", "non-dropping-particle" : "", "parse-names" : false, "suffix" : "" }, { "dropping-particle" : "", "family" : "Zhang", "given" : "Yan", "non-dropping-particle" : "", "parse-names" : false, "suffix" : "" }, { "dropping-particle" : "", "family" : "Shen", "given" : "Jun", "non-dropping-particle" : "", "parse-names" : false, "suffix" : "" }, { "dropping-particle" : "", "family" : "Kelly", "given" : "Ryan", "non-dropping-particle" : "", "parse-names" : false, "suffix" : "" }, { "dropping-particle" : "", "family" : "Zoltick", "given" : "Brad", "non-dropping-particle" : "", "parse-names" : false, "suffix" : "" }, { "dropping-particle" : "", "family" : "Weinberger", "given" : "Daniel", "non-dropping-particle" : "", "parse-names" : false, "suffix" : "" }, { "dropping-particle" : "", "family" : "Apud", "given" : "Jose", "non-dropping-particle" : "", "parse-names" : false, "suffix" : "" }, { "dropping-particle" : "", "family" : "Bell", "given" : "Morris", "non-dropping-particle" : "", "parse-names" : false, "suffix" : "" }, { "dropping-particle" : "", "family" : "Pelphrey", "given" : "Kevin", "non-dropping-particle" : "", "parse-names" : false, "suffix" : "" }, { "dropping-particle" : "", "family" : "Pearlson", "given" : "Godfrey", "non-dropping-particle" : "", "parse-names" : false, "suffix" : "" }, { "dropping-particle" : "", "family" : "Caprihan", "given" : "Arvind", "non-dropping-particle" : "", "parse-names" : false, "suffix" : "" }, { "dropping-particle" : "", "family" : "Perrone-bizzozero", "given" : "Nora I", "non-dropping-particle" : "", "parse-names" : false, "suffix" : "" }, { "dropping-particle" : "", "family" : "Bustillo", "given" : "R", "non-dropping-particle" : "", "parse-names" : false, "suffix" : "" }, { "dropping-particle" : "", "family" : "Turner", "given" : "Jessica A", "non-dropping-particle" : "", "parse-names" : false, "suffix" : "" }, { "dropping-particle" : "", "family" : "Potkin", "given" : "Steven G", "non-dropping-particle" : "", "parse-names" : false, "suffix" : "" }, { "dropping-particle" : "", "family" : "Theo", "given" : "G", "non-dropping-particle" : "", "parse-names" : false, "suffix" : "" }, { "dropping-particle" : "Van", "family" : "Erp", "given" : "M", "non-dropping-particle" : "", "parse-names" : false, "suffix" : "" }, { "dropping-particle" : "", "family" : "Mcewen", "given" : "Sarah C", "non-dropping-particle" : "", "parse-names" : false, "suffix" : "" }, { "dropping-particle" : "", "family" : "Aine", "given" : "Cheryl J", "non-dropping-particle" : "", "parse-names" : false, "suffix" : "" }, { "dropping-particle" : "", "family" : "Thoma", "given" : "J", "non-dropping-particle" : "", "parse-names" : false, "suffix" : "" }, { "dropping-particle" : "", "family" : "Ford", "given" : "Judith M", "non-dropping-particle" : "", "parse-names" : false, "suffix" : "" }, { "dropping-particle" : "", "family" : "Schulz", "given" : "Charles S", "non-dropping-particle" : "", "parse-names" : false, "suffix" : "" }, { "dropping-particle" : "", "family" : "Ho", "given" : "Choon", "non-dropping-particle" : "", "parse-names" : false, "suffix" : "" }, { "dropping-particle" : "", "family" : "Macciardi", "given" : "Fabio", "non-dropping-particle" : "", "parse-names" : false, "suffix" : "" }, { "dropping-particle" : "", "family" : "Ehrlich", "given" : "Stefan", "non-dropping-particle" : "", "parse-names" : false, "suffix" : "" } ], "container-title" : "Biological Psychiatry - Conference Abstract SOBP", "id" : "ITEM-1", "issue" : "10", "issued" : { "date-parts" : [ [ "2017" ] ] }, "page" : "S253-S254", "publisher" : "Elsevier", "title" : "Reward Learning and Dopamine Release in Adults with 22q11DS: A Study Using [18F]fallypride Positron Emission Tomography", "type" : "article-journal", "volume" : "81" }, "uris" : [ "http://www.mendeley.com/documents/?uuid=abb9ade0-8a1d-459f-82de-9a700c481a50" ] }, { "id" : "ITEM-2", "itemData" : { "DOI" : "10.1016/j.biopsycho.2017.04.014", "ISSN" : "18736246", "PMID" : "28461214", "abstract" : "Much human behavior is driven by rewards. Preclinical neurophysiological and clinical positron emission tomography (PET) studies have implicated striatal phasic dopamine (DA) release as a primary modulator of reward processing. However, the relationship between experimental reward-induced striatal DA release and responsiveness to naturalistic rewards, and therefore functional relevance of these findings, has been elusive. We therefore combined, for the first time, a DA D2/3 receptor [18F]fallypride PET during a probabilistic reinforcement learning (RL) task with a six day ecological momentary assessments (EMA) of reward-related behavior in the everyday life of 16 healthy volunteers. We detected significant reward-induced DA release in the bilateral putamen, caudate nucleus and ventral striatum, the extent of which was associated with better behavioral performance on the RL task across all regions. Furthermore, individual variability in the extent of reward-induced DA release in the right caudate nucleus and ventral striatum modulated the tendency to be actively engaged in a behavior if the active engagement was previously deemed enjoyable. This study suggests a link between striatal reward-related DA release and ecologically relevant reward-oriented behavior, suggesting an avenue for the inquiry into the DAergic basis of optimal and impaired motivational drive.", "author" : [ { "dropping-particle" : "", "family" : "Kasanova", "given" : "Zuzana", "non-dropping-particle" : "", "parse-names" : false, "suffix" : "" }, { "dropping-particle" : "", "family" : "Ceccarini", "given" : "Jenny", "non-dropping-particle" : "", "parse-names" : false, "suffix" : "" }, { "dropping-particle" : "", "family" : "Frank", "given" : "Michael J.", "non-dropping-particle" : "", "parse-names" : false, "suffix" : "" }, { "dropping-particle" : "van", "family" : "Amelsvoort", "given" : "Th\u00e9r\u00e8se", "non-dropping-particle" : "", "parse-names" : false, "suffix" : "" }, { "dropping-particle" : "", "family" : "Booij", "given" : "Jan", "non-dropping-particle" : "", "parse-names" : false, "suffix" : "" }, { "dropping-particle" : "", "family" : "Heinzel", "given" : "Alexander", "non-dropping-particle" : "", "parse-names" : false, "suffix" : "" }, { "dropping-particle" : "", "family" : "Mottaghy", "given" : "Felix", "non-dropping-particle" : "", "parse-names" : false, "suffix" : "" }, { "dropping-particle" : "", "family" : "Myin-Germeys", "given" : "Inez", "non-dropping-particle" : "", "parse-names" : false, "suffix" : "" } ], "container-title" : "Biological Psychology", "id" : "ITEM-2", "issued" : { "date-parts" : [ [ "2017" ] ] }, "page" : "1-9", "title" : "Striatal dopaminergic modulation of reinforcement learning predicts reward\u2014oriented behavior in daily life", "type" : "article-journal", "volume" : "127" }, "uris" : [ "http://www.mendeley.com/documents/?uuid=f6976ed6-0903-46d7-bda8-a6b7275b748e" ] } ], "mendeley" : { "formattedCitation" : "(Duin &lt;i&gt;et al.&lt;/i&gt; 2017; Kasanova &lt;i&gt;et al.&lt;/i&gt; 2017b)" }, "properties" : {  }, "schema" : "https://github.com/citation-style-language/schema/raw/master/csl-citation.json" }</w:instrText>
      </w:r>
      <w:r w:rsidRPr="00ED6DA5">
        <w:rPr>
          <w:rFonts w:asciiTheme="minorHAnsi" w:hAnsiTheme="minorHAnsi"/>
          <w:color w:val="000000" w:themeColor="text1"/>
        </w:rPr>
        <w:fldChar w:fldCharType="separate"/>
      </w:r>
      <w:r w:rsidR="00C715E7" w:rsidRPr="00ED6DA5">
        <w:rPr>
          <w:rFonts w:asciiTheme="minorHAnsi" w:hAnsiTheme="minorHAnsi"/>
          <w:noProof/>
          <w:color w:val="000000" w:themeColor="text1"/>
        </w:rPr>
        <w:t xml:space="preserve">(Duin </w:t>
      </w:r>
      <w:r w:rsidR="00C715E7" w:rsidRPr="00ED6DA5">
        <w:rPr>
          <w:rFonts w:asciiTheme="minorHAnsi" w:hAnsiTheme="minorHAnsi"/>
          <w:i/>
          <w:noProof/>
          <w:color w:val="000000" w:themeColor="text1"/>
        </w:rPr>
        <w:t>et al.</w:t>
      </w:r>
      <w:r w:rsidR="00C715E7" w:rsidRPr="00ED6DA5">
        <w:rPr>
          <w:rFonts w:asciiTheme="minorHAnsi" w:hAnsiTheme="minorHAnsi"/>
          <w:noProof/>
          <w:color w:val="000000" w:themeColor="text1"/>
        </w:rPr>
        <w:t xml:space="preserve"> 2017; Kasanova </w:t>
      </w:r>
      <w:r w:rsidR="00C715E7" w:rsidRPr="00ED6DA5">
        <w:rPr>
          <w:rFonts w:asciiTheme="minorHAnsi" w:hAnsiTheme="minorHAnsi"/>
          <w:i/>
          <w:noProof/>
          <w:color w:val="000000" w:themeColor="text1"/>
        </w:rPr>
        <w:t>et al.</w:t>
      </w:r>
      <w:r w:rsidR="00C715E7" w:rsidRPr="00ED6DA5">
        <w:rPr>
          <w:rFonts w:asciiTheme="minorHAnsi" w:hAnsiTheme="minorHAnsi"/>
          <w:noProof/>
          <w:color w:val="000000" w:themeColor="text1"/>
        </w:rPr>
        <w:t xml:space="preserve"> 2017b)</w:t>
      </w:r>
      <w:r w:rsidRPr="00ED6DA5">
        <w:rPr>
          <w:rFonts w:asciiTheme="minorHAnsi" w:hAnsiTheme="minorHAnsi"/>
          <w:color w:val="000000" w:themeColor="text1"/>
        </w:rPr>
        <w:fldChar w:fldCharType="end"/>
      </w:r>
      <w:r w:rsidRPr="00ED6DA5">
        <w:rPr>
          <w:rFonts w:asciiTheme="minorHAnsi" w:hAnsiTheme="minorHAnsi"/>
          <w:color w:val="000000" w:themeColor="text1"/>
        </w:rPr>
        <w:t>. Based on the aim of the study, the frames of the experimental condition were not used, causing the final protocol to consist of 120 minutes (Figure 1). [</w:t>
      </w:r>
      <w:r w:rsidRPr="00ED6DA5">
        <w:rPr>
          <w:rFonts w:asciiTheme="minorHAnsi" w:hAnsiTheme="minorHAnsi"/>
          <w:color w:val="000000" w:themeColor="text1"/>
          <w:vertAlign w:val="superscript"/>
        </w:rPr>
        <w:t>18</w:t>
      </w:r>
      <w:r w:rsidRPr="00ED6DA5">
        <w:rPr>
          <w:rFonts w:asciiTheme="minorHAnsi" w:hAnsiTheme="minorHAnsi"/>
          <w:color w:val="000000" w:themeColor="text1"/>
        </w:rPr>
        <w:t>F]fallypride</w:t>
      </w:r>
      <w:r w:rsidRPr="00ED6DA5">
        <w:rPr>
          <w:rFonts w:asciiTheme="minorHAnsi" w:eastAsia="Times New Roman" w:hAnsiTheme="minorHAnsi" w:cs="Arial"/>
          <w:color w:val="000000" w:themeColor="text1"/>
          <w:shd w:val="clear" w:color="auto" w:fill="FFFFFF"/>
        </w:rPr>
        <w:t xml:space="preserve"> steady-state conditions are attained sooner in frontal compared to striatal regions, because of the lower density of D</w:t>
      </w:r>
      <w:r w:rsidRPr="00ED6DA5">
        <w:rPr>
          <w:rFonts w:asciiTheme="minorHAnsi" w:eastAsia="Times New Roman" w:hAnsiTheme="minorHAnsi" w:cs="Arial"/>
          <w:color w:val="000000" w:themeColor="text1"/>
          <w:shd w:val="clear" w:color="auto" w:fill="FFFFFF"/>
          <w:vertAlign w:val="subscript"/>
        </w:rPr>
        <w:t>2/3</w:t>
      </w:r>
      <w:r w:rsidRPr="00ED6DA5">
        <w:rPr>
          <w:rFonts w:asciiTheme="minorHAnsi" w:eastAsia="Times New Roman" w:hAnsiTheme="minorHAnsi" w:cs="Arial"/>
          <w:color w:val="000000" w:themeColor="text1"/>
          <w:shd w:val="clear" w:color="auto" w:fill="FFFFFF"/>
        </w:rPr>
        <w:t xml:space="preserve"> receptors in the frontal than striatal brain areas, accounting for accurate frontal D</w:t>
      </w:r>
      <w:r w:rsidRPr="00ED6DA5">
        <w:rPr>
          <w:rFonts w:asciiTheme="minorHAnsi" w:eastAsia="Times New Roman" w:hAnsiTheme="minorHAnsi" w:cs="Arial"/>
          <w:color w:val="000000" w:themeColor="text1"/>
          <w:shd w:val="clear" w:color="auto" w:fill="FFFFFF"/>
          <w:vertAlign w:val="subscript"/>
        </w:rPr>
        <w:t>2/3</w:t>
      </w:r>
      <w:r w:rsidRPr="00ED6DA5">
        <w:rPr>
          <w:rFonts w:asciiTheme="minorHAnsi" w:eastAsia="Times New Roman" w:hAnsiTheme="minorHAnsi" w:cs="Arial"/>
          <w:color w:val="000000" w:themeColor="text1"/>
          <w:shd w:val="clear" w:color="auto" w:fill="FFFFFF"/>
        </w:rPr>
        <w:t xml:space="preserve"> BP</w:t>
      </w:r>
      <w:r w:rsidRPr="00ED6DA5">
        <w:rPr>
          <w:rFonts w:asciiTheme="minorHAnsi" w:eastAsia="Times New Roman" w:hAnsiTheme="minorHAnsi" w:cs="Arial"/>
          <w:color w:val="000000" w:themeColor="text1"/>
          <w:shd w:val="clear" w:color="auto" w:fill="FFFFFF"/>
          <w:vertAlign w:val="subscript"/>
        </w:rPr>
        <w:t>ND</w:t>
      </w:r>
      <w:r w:rsidRPr="00ED6DA5">
        <w:rPr>
          <w:rFonts w:asciiTheme="minorHAnsi" w:eastAsia="Times New Roman" w:hAnsiTheme="minorHAnsi" w:cs="Arial"/>
          <w:color w:val="000000" w:themeColor="text1"/>
          <w:shd w:val="clear" w:color="auto" w:fill="FFFFFF"/>
        </w:rPr>
        <w:t xml:space="preserve"> estimates in a 2 hour scanning protocol </w:t>
      </w:r>
      <w:r w:rsidRPr="00ED6DA5">
        <w:rPr>
          <w:rFonts w:asciiTheme="minorHAnsi" w:eastAsia="Times New Roman" w:hAnsiTheme="minorHAnsi" w:cs="Arial"/>
          <w:color w:val="000000" w:themeColor="text1"/>
          <w:shd w:val="clear" w:color="auto" w:fill="FFFFFF"/>
        </w:rPr>
        <w:fldChar w:fldCharType="begin" w:fldLock="1"/>
      </w:r>
      <w:r w:rsidR="00C715E7" w:rsidRPr="00ED6DA5">
        <w:rPr>
          <w:rFonts w:asciiTheme="minorHAnsi" w:eastAsia="Times New Roman" w:hAnsiTheme="minorHAnsi" w:cs="Arial"/>
          <w:color w:val="000000" w:themeColor="text1"/>
          <w:shd w:val="clear" w:color="auto" w:fill="FFFFFF"/>
        </w:rPr>
        <w:instrText>ADDIN CSL_CITATION { "citationItems" : [ { "id" : "ITEM-1", "itemData" : { "DOI" : "10.2967/jnumed.111.099416", "ISSN" : "1535-5667", "PMID" : "22933820", "abstract" : "UNLABELLED The high-affinity D(2/3) PET radioligand (18)F-fallypride offers the possibility of measuring both striatal and extrastriatal dopamine release during activation paradigms. When a single (18)F-fallypride scanning protocol is used, task timing is critical to the ability to explore both striatal and extrastriatal dopamine release simultaneously. We evaluated the sensitivity and optimal timing of task administration for a single (18)F-fallypride PET protocol and the linearized simplified reference region kinetic model in detecting both striatal and extrastriatal reward-induced dopamine release, using human and simulation studies. METHODS Ten healthy volunteers underwent a single-bolus (18)F-fallypride PET protocol. A reward responsiveness learning task was initiated at 100 min after injection. PET data were analyzed using the linearized simplified reference region model, which accounts for time-dependent changes in (18)F-fallypride displacement. Voxel-based statistical maps, reflecting task-induced D(2/3) ligand displacement, and volume-of-interest-based analysis were performed to localize areas with increased ligand displacement after task initiation, thought to be proportional to changes in endogenous dopamine release (\u03b3 parameter). Simulated time-activity curves for baseline and hypothetical dopamine release functions (different peak heights of dopamine and task timings) were generated using the enhanced receptor-binding kinetic model to investigate \u03b3 as a function of these parameters. RESULTS The reward task induced increased ligand displacement in extrastriatal regions of the reward circuit, including the medial orbitofrontal cortex, ventromedial prefrontal cortex, and dorsal anterior cingulate cortex. For task timing of 100 min, ligand displacement was found for the striatum only when peak height of dopamine was greater than 240 nM, whereas for frontal regions, \u03b3 was always positive for all task timings and peak heights of dopamine. Simulation results for a peak height of dopamine of 200 nM showed that an effect of striatal ligand displacement could be detected only when task timing was greater than 120 min. CONCLUSION The prefrontal and anterior cingulate cortices are involved in reward responsiveness that can be measured using (18)F-fallypride PET in a single scanning session. To measure both striatal and extrastriatal dopamine release, the height of dopamine released and task timing need to be considered in designing activation studies d\u2026", "author" : [ { "dropping-particle" : "", "family" : "Ceccarini", "given" : "Jenny", "non-dropping-particle" : "", "parse-names" : false, "suffix" : "" }, { "dropping-particle" : "", "family" : "Vrieze", "given" : "Elske", "non-dropping-particle" : "", "parse-names" : false, "suffix" : "" }, { "dropping-particle" : "", "family" : "Koole", "given" : "Michel", "non-dropping-particle" : "", "parse-names" : false, "suffix" : "" }, { "dropping-particle" : "", "family" : "Muylle", "given" : "Tom", "non-dropping-particle" : "", "parse-names" : false, "suffix" : "" }, { "dropping-particle" : "", "family" : "Bormans", "given" : "Guy", "non-dropping-particle" : "", "parse-names" : false, "suffix" : "" }, { "dropping-particle" : "", "family" : "Claes", "given" : "Stephan", "non-dropping-particle" : "", "parse-names" : false, "suffix" : "" }, { "dropping-particle" : "", "family" : "Laere", "given" : "Koen", "non-dropping-particle" : "Van", "parse-names" : false, "suffix" : "" } ], "container-title" : "Journal of nuclear medicine : official publication, Society of Nuclear Medicine", "id" : "ITEM-1", "issue" : "10", "issued" : { "date-parts" : [ [ "2012", "10", "1" ] ] }, "page" : "1565-72", "publisher" : "Society of Nuclear Medicine", "title" : "Optimized in vivo detection of dopamine release using 18F-fallypride PET.", "type" : "article-journal", "volume" : "53" }, "uris" : [ "http://www.mendeley.com/documents/?uuid=4a4b6175-69c9-36b0-826d-fe8126f17334" ] }, { "id" : "ITEM-2", "itemData" : { "DOI" : "10.1002/1098-2396(200010)38:13.0.CO;2-2", "ISSN" : "0887-4476", "abstract" : "[F-18]Fallypride is a highly selective, high-affinity dopamine D-2 receptor ligand. The high affinity, K-D = 30 pM, makes it a suitable candidate for visualizing both striatal and extrastriatal binding in the brain. In this work, dynamic PET studies of two macaque monkeys were acquired along with arterial plasma samples. Compartmental analysis and Logan plots were used to analyze the striatum, thalamus, frontal, and temporal cortices and to validate a reference region of analysis which yields a distribution volume ratio (DVR). The cerebellum was used as the reference region. The results indicate that all methods of analysis are in close agreement over all the analyzed regions in the brain. The average DVRs for the two monkeys was found to be: caudate = 26, putamen = 29, thalamus = 3.8, frontal ctx = 1.7, and temporal ctx = 1.7 on a high-resolution PET scanner. It was found that a scan time of 2 h is needed to accurately estimate the DVR for all regions of the brain. The striatal regions require the longest to linearize and are the most sensitive to variations in time average tissue-to-plasma efflux constant, (k) over bar(2). For the extrastriatal regions, the effect of the (k) over bar(2) term on DVR calculation is negligible. Repeatability measurements for all regions were found to be within 10% using the DVR parameter. Synapse 38:71-79, 2000. (C) 2000 Wiley-Liss, Inc.", "author" : [ { "dropping-particle" : "", "family" : "Christian", "given" : "BT", "non-dropping-particle" : "", "parse-names" : false, "suffix" : "" }, { "dropping-particle" : "", "family" : "Narayanan", "given" : "TK", "non-dropping-particle" : "", "parse-names" : false, "suffix" : "" }, { "dropping-particle" : "", "family" : "Shi", "given" : "BZ", "non-dropping-particle" : "", "parse-names" : false, "suffix" : "" }, { "dropping-particle" : "", "family" : "Mukherjee", "given" : "J", "non-dropping-particle" : "", "parse-names" : false, "suffix" : "" } ], "container-title" : "Synapse", "id" : "ITEM-2", "issue" : "1", "issued" : { "date-parts" : [ [ "2000" ] ] }, "page" : "71-79", "title" : "Quantitation of striatal and extrastriatal D-2 dopamine receptors using PET imaging of [F-18]fallypride in nonhuman primates", "type" : "article-journal", "volume" : "38" }, "uris" : [ "http://www.mendeley.com/documents/?uuid=ef2e55b2-1697-4c5b-918a-2462647cda3a" ] }, { "id" : "ITEM-3", "itemData" : { "DOI" : "10.1038/jcbfm.2011.73", "ISBN" : "1559-7016; 0271-678X", "ISSN" : "0271-678X", "PMID" : "21587267", "abstract" : "The high-affinity radioligand [(18)F]fallypride (FP) is frequently used for quantification of striatal/extrastriatal D(2/3) receptors and the receptor occupancies of antipsychotics (APs). Its 110\u2009minutes half-life allows long scan durations. However, the optimum scan duration is a matter of debate. This investigation focuses on scan-duration-related effects on simplified reference tissue model (SRTM) results and the time point of transient equilibrium in a large sample of dynamic FP positron emission tomography (PET) scans. Fifty drug-free and 50 AP-treated subjects underwent FP-PET scans (180\u2009minutes scan duration). The binding potential (BP(ND)) of the putamen, thalamus, and temporal cortex were calculated using the SRTM and the transient equilibrium model. Furthermore, receptor occupancies were calculated for AP-treated patients. Transient equilibrium in the unblocked putamen occurred after 121\u00b129.6\u2009minutes. The transient equilibrium occurred much earlier in the extrastriatal regions or under AP treatment. Stepwise scan shortening caused BP(ND) underestimations of 0.58% for the first 10-minute reduction (putamen, SRTM), finally reaching 5.76% after 1\u2009hour scan-time reduction. We observed preferential extrastriatal AP binding irrespective of the analytical method. [(18)F]fallypride scan durations of 180\u2009minutes reliably reach equilibrium even in D(2/3)-receptor-rich regions. Moderate reductions in FP scan durations only caused small changes to SRTM results even in receptor-rich regions. Apparently, the D(2/3) receptor occupancy results of APs, especially preferential extrastriatal binding observations, are not relevantly biased by inappropriate scan durations.", "author" : [ { "dropping-particle" : "", "family" : "Vernaleken", "given" : "Ingo", "non-dropping-particle" : "", "parse-names" : false, "suffix" : "" }, { "dropping-particle" : "", "family" : "Peters", "given" : "Lisa", "non-dropping-particle" : "", "parse-names" : false, "suffix" : "" }, { "dropping-particle" : "", "family" : "Raptis", "given" : "Mardjan", "non-dropping-particle" : "", "parse-names" : false, "suffix" : "" }, { "dropping-particle" : "", "family" : "Lin", "given" : "Robert", "non-dropping-particle" : "", "parse-names" : false, "suffix" : "" }, { "dropping-particle" : "", "family" : "Buchholz", "given" : "Hans-Georg", "non-dropping-particle" : "", "parse-names" : false, "suffix" : "" }, { "dropping-particle" : "", "family" : "Zhou", "given" : "Yun", "non-dropping-particle" : "", "parse-names" : false, "suffix" : "" }, { "dropping-particle" : "", "family" : "Winz", "given" : "Oliver", "non-dropping-particle" : "", "parse-names" : false, "suffix" : "" }, { "dropping-particle" : "", "family" : "R\u00f6sch", "given" : "Frank", "non-dropping-particle" : "", "parse-names" : false, "suffix" : "" }, { "dropping-particle" : "", "family" : "Bartenstein", "given" : "Peter", "non-dropping-particle" : "", "parse-names" : false, "suffix" : "" }, { "dropping-particle" : "", "family" : "Wong", "given" : "Dean F", "non-dropping-particle" : "", "parse-names" : false, "suffix" : "" }, { "dropping-particle" : "", "family" : "Sch\u00e1fer", "given" : "Wolfgang M", "non-dropping-particle" : "", "parse-names" : false, "suffix" : "" }, { "dropping-particle" : "", "family" : "Gr\u00fcnder", "given" : "Gerhard", "non-dropping-particle" : "", "parse-names" : false, "suffix" : "" } ], "container-title" : "Journal of Cerebral Blood Flow &amp; Metabolism", "id" : "ITEM-3", "issue" : "9", "issued" : { "date-parts" : [ [ "2011" ] ] }, "page" : "1958-1966", "title" : "The applicability of SRTM in [ &lt;sup&gt;18&lt;/sup&gt; F]fallypride PET investigations: Impact of scan durations", "type" : "article-journal", "volume" : "31" }, "uris" : [ "http://www.mendeley.com/documents/?uuid=58857b72-4887-4508-9ae5-30e4c26d7bdc" ] } ], "mendeley" : { "formattedCitation" : "(Christian &lt;i&gt;et al.&lt;/i&gt; 2000; Vernaleken &lt;i&gt;et al.&lt;/i&gt; 2011; Ceccarini &lt;i&gt;et al.&lt;/i&gt; 2012)", "plainTextFormattedCitation" : "(Christian et al. 2000; Vernaleken et al. 2011; Ceccarini et al. 2012)", "previouslyFormattedCitation" : "(Ceccarini et al. 2012; Christian et al. 2000; Vernaleken et al. 2011)" }, "properties" : {  }, "schema" : "https://github.com/citation-style-language/schema/raw/master/csl-citation.json" }</w:instrText>
      </w:r>
      <w:r w:rsidRPr="00ED6DA5">
        <w:rPr>
          <w:rFonts w:asciiTheme="minorHAnsi" w:eastAsia="Times New Roman" w:hAnsiTheme="minorHAnsi" w:cs="Arial"/>
          <w:color w:val="000000" w:themeColor="text1"/>
          <w:shd w:val="clear" w:color="auto" w:fill="FFFFFF"/>
        </w:rPr>
        <w:fldChar w:fldCharType="separate"/>
      </w:r>
      <w:r w:rsidR="00C715E7" w:rsidRPr="00ED6DA5">
        <w:rPr>
          <w:rFonts w:asciiTheme="minorHAnsi" w:eastAsia="Times New Roman" w:hAnsiTheme="minorHAnsi" w:cs="Arial"/>
          <w:noProof/>
          <w:color w:val="000000" w:themeColor="text1"/>
          <w:shd w:val="clear" w:color="auto" w:fill="FFFFFF"/>
        </w:rPr>
        <w:t xml:space="preserve">(Christian </w:t>
      </w:r>
      <w:r w:rsidR="00C715E7" w:rsidRPr="00ED6DA5">
        <w:rPr>
          <w:rFonts w:asciiTheme="minorHAnsi" w:eastAsia="Times New Roman" w:hAnsiTheme="minorHAnsi" w:cs="Arial"/>
          <w:i/>
          <w:noProof/>
          <w:color w:val="000000" w:themeColor="text1"/>
          <w:shd w:val="clear" w:color="auto" w:fill="FFFFFF"/>
        </w:rPr>
        <w:t>et al.</w:t>
      </w:r>
      <w:r w:rsidR="00C715E7" w:rsidRPr="00ED6DA5">
        <w:rPr>
          <w:rFonts w:asciiTheme="minorHAnsi" w:eastAsia="Times New Roman" w:hAnsiTheme="minorHAnsi" w:cs="Arial"/>
          <w:noProof/>
          <w:color w:val="000000" w:themeColor="text1"/>
          <w:shd w:val="clear" w:color="auto" w:fill="FFFFFF"/>
        </w:rPr>
        <w:t xml:space="preserve"> 2000; Vernaleken </w:t>
      </w:r>
      <w:r w:rsidR="00C715E7" w:rsidRPr="00ED6DA5">
        <w:rPr>
          <w:rFonts w:asciiTheme="minorHAnsi" w:eastAsia="Times New Roman" w:hAnsiTheme="minorHAnsi" w:cs="Arial"/>
          <w:i/>
          <w:noProof/>
          <w:color w:val="000000" w:themeColor="text1"/>
          <w:shd w:val="clear" w:color="auto" w:fill="FFFFFF"/>
        </w:rPr>
        <w:t>et al.</w:t>
      </w:r>
      <w:r w:rsidR="00C715E7" w:rsidRPr="00ED6DA5">
        <w:rPr>
          <w:rFonts w:asciiTheme="minorHAnsi" w:eastAsia="Times New Roman" w:hAnsiTheme="minorHAnsi" w:cs="Arial"/>
          <w:noProof/>
          <w:color w:val="000000" w:themeColor="text1"/>
          <w:shd w:val="clear" w:color="auto" w:fill="FFFFFF"/>
        </w:rPr>
        <w:t xml:space="preserve"> 2011; Ceccarini </w:t>
      </w:r>
      <w:r w:rsidR="00C715E7" w:rsidRPr="00ED6DA5">
        <w:rPr>
          <w:rFonts w:asciiTheme="minorHAnsi" w:eastAsia="Times New Roman" w:hAnsiTheme="minorHAnsi" w:cs="Arial"/>
          <w:i/>
          <w:noProof/>
          <w:color w:val="000000" w:themeColor="text1"/>
          <w:shd w:val="clear" w:color="auto" w:fill="FFFFFF"/>
        </w:rPr>
        <w:t>et al.</w:t>
      </w:r>
      <w:r w:rsidR="00C715E7" w:rsidRPr="00ED6DA5">
        <w:rPr>
          <w:rFonts w:asciiTheme="minorHAnsi" w:eastAsia="Times New Roman" w:hAnsiTheme="minorHAnsi" w:cs="Arial"/>
          <w:noProof/>
          <w:color w:val="000000" w:themeColor="text1"/>
          <w:shd w:val="clear" w:color="auto" w:fill="FFFFFF"/>
        </w:rPr>
        <w:t xml:space="preserve"> 2012)</w:t>
      </w:r>
      <w:r w:rsidRPr="00ED6DA5">
        <w:rPr>
          <w:rFonts w:asciiTheme="minorHAnsi" w:eastAsia="Times New Roman" w:hAnsiTheme="minorHAnsi" w:cs="Arial"/>
          <w:color w:val="000000" w:themeColor="text1"/>
          <w:shd w:val="clear" w:color="auto" w:fill="FFFFFF"/>
        </w:rPr>
        <w:fldChar w:fldCharType="end"/>
      </w:r>
      <w:r w:rsidRPr="00ED6DA5">
        <w:rPr>
          <w:rFonts w:asciiTheme="minorHAnsi" w:eastAsia="Times New Roman" w:hAnsiTheme="minorHAnsi" w:cs="Arial"/>
          <w:color w:val="000000" w:themeColor="text1"/>
          <w:shd w:val="clear" w:color="auto" w:fill="FFFFFF"/>
        </w:rPr>
        <w:t xml:space="preserve"> in contrast to a protocol longer than 2 hours for striatal brain areas </w:t>
      </w:r>
      <w:r w:rsidRPr="00ED6DA5">
        <w:rPr>
          <w:rFonts w:asciiTheme="minorHAnsi" w:eastAsia="Times New Roman" w:hAnsiTheme="minorHAnsi" w:cs="Arial"/>
          <w:color w:val="000000" w:themeColor="text1"/>
          <w:shd w:val="clear" w:color="auto" w:fill="FFFFFF"/>
        </w:rPr>
        <w:fldChar w:fldCharType="begin" w:fldLock="1"/>
      </w:r>
      <w:r w:rsidR="00C715E7" w:rsidRPr="00ED6DA5">
        <w:rPr>
          <w:rFonts w:asciiTheme="minorHAnsi" w:eastAsia="Times New Roman" w:hAnsiTheme="minorHAnsi" w:cs="Arial"/>
          <w:color w:val="000000" w:themeColor="text1"/>
          <w:shd w:val="clear" w:color="auto" w:fill="FFFFFF"/>
        </w:rPr>
        <w:instrText>ADDIN CSL_CITATION { "citationItems" : [ { "id" : "ITEM-1", "itemData" : { "DOI" : "10.2967/jnumed.111.099416", "ISSN" : "1535-5667", "PMID" : "22933820", "abstract" : "UNLABELLED The high-affinity D(2/3) PET radioligand (18)F-fallypride offers the possibility of measuring both striatal and extrastriatal dopamine release during activation paradigms. When a single (18)F-fallypride scanning protocol is used, task timing is critical to the ability to explore both striatal and extrastriatal dopamine release simultaneously. We evaluated the sensitivity and optimal timing of task administration for a single (18)F-fallypride PET protocol and the linearized simplified reference region kinetic model in detecting both striatal and extrastriatal reward-induced dopamine release, using human and simulation studies. METHODS Ten healthy volunteers underwent a single-bolus (18)F-fallypride PET protocol. A reward responsiveness learning task was initiated at 100 min after injection. PET data were analyzed using the linearized simplified reference region model, which accounts for time-dependent changes in (18)F-fallypride displacement. Voxel-based statistical maps, reflecting task-induced D(2/3) ligand displacement, and volume-of-interest-based analysis were performed to localize areas with increased ligand displacement after task initiation, thought to be proportional to changes in endogenous dopamine release (\u03b3 parameter). Simulated time-activity curves for baseline and hypothetical dopamine release functions (different peak heights of dopamine and task timings) were generated using the enhanced receptor-binding kinetic model to investigate \u03b3 as a function of these parameters. RESULTS The reward task induced increased ligand displacement in extrastriatal regions of the reward circuit, including the medial orbitofrontal cortex, ventromedial prefrontal cortex, and dorsal anterior cingulate cortex. For task timing of 100 min, ligand displacement was found for the striatum only when peak height of dopamine was greater than 240 nM, whereas for frontal regions, \u03b3 was always positive for all task timings and peak heights of dopamine. Simulation results for a peak height of dopamine of 200 nM showed that an effect of striatal ligand displacement could be detected only when task timing was greater than 120 min. CONCLUSION The prefrontal and anterior cingulate cortices are involved in reward responsiveness that can be measured using (18)F-fallypride PET in a single scanning session. To measure both striatal and extrastriatal dopamine release, the height of dopamine released and task timing need to be considered in designing activation studies d\u2026", "author" : [ { "dropping-particle" : "", "family" : "Ceccarini", "given" : "Jenny", "non-dropping-particle" : "", "parse-names" : false, "suffix" : "" }, { "dropping-particle" : "", "family" : "Vrieze", "given" : "Elske", "non-dropping-particle" : "", "parse-names" : false, "suffix" : "" }, { "dropping-particle" : "", "family" : "Koole", "given" : "Michel", "non-dropping-particle" : "", "parse-names" : false, "suffix" : "" }, { "dropping-particle" : "", "family" : "Muylle", "given" : "Tom", "non-dropping-particle" : "", "parse-names" : false, "suffix" : "" }, { "dropping-particle" : "", "family" : "Bormans", "given" : "Guy", "non-dropping-particle" : "", "parse-names" : false, "suffix" : "" }, { "dropping-particle" : "", "family" : "Claes", "given" : "Stephan", "non-dropping-particle" : "", "parse-names" : false, "suffix" : "" }, { "dropping-particle" : "", "family" : "Laere", "given" : "Koen", "non-dropping-particle" : "Van", "parse-names" : false, "suffix" : "" } ], "container-title" : "Journal of nuclear medicine : official publication, Society of Nuclear Medicine", "id" : "ITEM-1", "issue" : "10", "issued" : { "date-parts" : [ [ "2012", "10", "1" ] ] }, "page" : "1565-72", "publisher" : "Society of Nuclear Medicine", "title" : "Optimized in vivo detection of dopamine release using 18F-fallypride PET.", "type" : "article-journal", "volume" : "53" }, "uris" : [ "http://www.mendeley.com/documents/?uuid=4a4b6175-69c9-36b0-826d-fe8126f17334" ] } ], "mendeley" : { "formattedCitation" : "(Ceccarini &lt;i&gt;et al.&lt;/i&gt; 2012)", "plainTextFormattedCitation" : "(Ceccarini et al. 2012)", "previouslyFormattedCitation" : "(Ceccarini et al. 2012)" }, "properties" : {  }, "schema" : "https://github.com/citation-style-language/schema/raw/master/csl-citation.json" }</w:instrText>
      </w:r>
      <w:r w:rsidRPr="00ED6DA5">
        <w:rPr>
          <w:rFonts w:asciiTheme="minorHAnsi" w:eastAsia="Times New Roman" w:hAnsiTheme="minorHAnsi" w:cs="Arial"/>
          <w:color w:val="000000" w:themeColor="text1"/>
          <w:shd w:val="clear" w:color="auto" w:fill="FFFFFF"/>
        </w:rPr>
        <w:fldChar w:fldCharType="separate"/>
      </w:r>
      <w:r w:rsidR="00C715E7" w:rsidRPr="00ED6DA5">
        <w:rPr>
          <w:rFonts w:asciiTheme="minorHAnsi" w:eastAsia="Times New Roman" w:hAnsiTheme="minorHAnsi" w:cs="Arial"/>
          <w:noProof/>
          <w:color w:val="000000" w:themeColor="text1"/>
          <w:shd w:val="clear" w:color="auto" w:fill="FFFFFF"/>
        </w:rPr>
        <w:t xml:space="preserve">(Ceccarini </w:t>
      </w:r>
      <w:r w:rsidR="00C715E7" w:rsidRPr="00ED6DA5">
        <w:rPr>
          <w:rFonts w:asciiTheme="minorHAnsi" w:eastAsia="Times New Roman" w:hAnsiTheme="minorHAnsi" w:cs="Arial"/>
          <w:i/>
          <w:noProof/>
          <w:color w:val="000000" w:themeColor="text1"/>
          <w:shd w:val="clear" w:color="auto" w:fill="FFFFFF"/>
        </w:rPr>
        <w:t>et al.</w:t>
      </w:r>
      <w:r w:rsidR="00C715E7" w:rsidRPr="00ED6DA5">
        <w:rPr>
          <w:rFonts w:asciiTheme="minorHAnsi" w:eastAsia="Times New Roman" w:hAnsiTheme="minorHAnsi" w:cs="Arial"/>
          <w:noProof/>
          <w:color w:val="000000" w:themeColor="text1"/>
          <w:shd w:val="clear" w:color="auto" w:fill="FFFFFF"/>
        </w:rPr>
        <w:t xml:space="preserve"> 2012)</w:t>
      </w:r>
      <w:r w:rsidRPr="00ED6DA5">
        <w:rPr>
          <w:rFonts w:asciiTheme="minorHAnsi" w:eastAsia="Times New Roman" w:hAnsiTheme="minorHAnsi" w:cs="Arial"/>
          <w:color w:val="000000" w:themeColor="text1"/>
          <w:shd w:val="clear" w:color="auto" w:fill="FFFFFF"/>
        </w:rPr>
        <w:fldChar w:fldCharType="end"/>
      </w:r>
      <w:r w:rsidRPr="00ED6DA5">
        <w:rPr>
          <w:rFonts w:asciiTheme="minorHAnsi" w:eastAsia="Times New Roman" w:hAnsiTheme="minorHAnsi" w:cs="Arial"/>
          <w:color w:val="000000" w:themeColor="text1"/>
          <w:shd w:val="clear" w:color="auto" w:fill="FFFFFF"/>
        </w:rPr>
        <w:t>.</w:t>
      </w:r>
    </w:p>
    <w:p w14:paraId="77BF707F" w14:textId="77777777" w:rsidR="00F24979" w:rsidRPr="00ED6DA5" w:rsidRDefault="00F24979" w:rsidP="00F24979">
      <w:pPr>
        <w:spacing w:line="360" w:lineRule="auto"/>
        <w:ind w:firstLine="708"/>
        <w:jc w:val="both"/>
        <w:rPr>
          <w:rFonts w:asciiTheme="minorHAnsi" w:hAnsiTheme="minorHAnsi"/>
          <w:color w:val="000000" w:themeColor="text1"/>
        </w:rPr>
      </w:pPr>
      <w:r w:rsidRPr="00ED6DA5">
        <w:rPr>
          <w:rFonts w:asciiTheme="minorHAnsi" w:hAnsiTheme="minorHAnsi"/>
          <w:color w:val="000000" w:themeColor="text1"/>
        </w:rPr>
        <w:t xml:space="preserve">First, an 80-minute sensory-motor control condition was used, consisting of a total of 36 frames (6 x 60-second frames + 30 x 120-second frames). Then participants were removed from the scanner bed for a 15-minute break. They were repositioned using the localization system of the scanner and a 25-minute baseline rest images were obtained, consisting of 18 frames (120-second as frame length). </w:t>
      </w:r>
    </w:p>
    <w:p w14:paraId="064BB02D" w14:textId="77777777" w:rsidR="00F24979" w:rsidRPr="00ED6DA5" w:rsidRDefault="00F24979" w:rsidP="00F24979">
      <w:pPr>
        <w:spacing w:line="360" w:lineRule="auto"/>
        <w:ind w:firstLine="708"/>
        <w:jc w:val="both"/>
        <w:rPr>
          <w:rFonts w:asciiTheme="minorHAnsi" w:hAnsiTheme="minorHAnsi"/>
          <w:color w:val="000000" w:themeColor="text1"/>
        </w:rPr>
      </w:pPr>
      <w:r w:rsidRPr="00ED6DA5">
        <w:rPr>
          <w:rFonts w:asciiTheme="minorHAnsi" w:hAnsiTheme="minorHAnsi"/>
          <w:color w:val="000000" w:themeColor="text1"/>
        </w:rPr>
        <w:t xml:space="preserve">A dynamic frame was collected every 60 seconds during the first 6 minutes of the protocol. During the following 114 minutes (the remainder of the protocol), every 120 seconds PET data were collected, with a total of 63 frames, including the frames when the participant was outside of the scanner during the break. Data sets (slice thickness = 2.425 mm; pixel size = 2 x 2 mm) were reconstructed by filtered back projection (Hamm filter) after Fourier rebinning into two-dimensional sonograms, corrected for random coincidences, scatter and attenuation using the 10-minute </w:t>
      </w:r>
      <w:r w:rsidRPr="00ED6DA5">
        <w:rPr>
          <w:rFonts w:asciiTheme="minorHAnsi" w:hAnsiTheme="minorHAnsi"/>
          <w:color w:val="000000" w:themeColor="text1"/>
          <w:vertAlign w:val="superscript"/>
        </w:rPr>
        <w:t>68</w:t>
      </w:r>
      <w:r w:rsidRPr="00ED6DA5">
        <w:rPr>
          <w:rFonts w:asciiTheme="minorHAnsi" w:hAnsiTheme="minorHAnsi"/>
          <w:color w:val="000000" w:themeColor="text1"/>
        </w:rPr>
        <w:t>Ge/</w:t>
      </w:r>
      <w:r w:rsidRPr="00ED6DA5">
        <w:rPr>
          <w:rFonts w:asciiTheme="minorHAnsi" w:hAnsiTheme="minorHAnsi"/>
          <w:color w:val="000000" w:themeColor="text1"/>
          <w:vertAlign w:val="superscript"/>
        </w:rPr>
        <w:t>68</w:t>
      </w:r>
      <w:r w:rsidRPr="00ED6DA5">
        <w:rPr>
          <w:rFonts w:asciiTheme="minorHAnsi" w:hAnsiTheme="minorHAnsi"/>
          <w:color w:val="000000" w:themeColor="text1"/>
        </w:rPr>
        <w:t>Ga transmission scan.</w:t>
      </w:r>
    </w:p>
    <w:p w14:paraId="20B26187" w14:textId="77777777" w:rsidR="00F24979" w:rsidRPr="00ED6DA5" w:rsidRDefault="00F24979" w:rsidP="00F24979">
      <w:pPr>
        <w:spacing w:line="360" w:lineRule="auto"/>
        <w:jc w:val="both"/>
        <w:rPr>
          <w:rFonts w:asciiTheme="minorHAnsi" w:hAnsiTheme="minorHAnsi"/>
          <w:color w:val="000000" w:themeColor="text1"/>
        </w:rPr>
      </w:pPr>
    </w:p>
    <w:p w14:paraId="76542DD7" w14:textId="77777777" w:rsidR="00F24979" w:rsidRPr="00ED6DA5" w:rsidRDefault="00F24979" w:rsidP="00F24979">
      <w:pPr>
        <w:spacing w:line="360" w:lineRule="auto"/>
        <w:jc w:val="both"/>
        <w:rPr>
          <w:rFonts w:asciiTheme="minorHAnsi" w:hAnsiTheme="minorHAnsi"/>
          <w:i/>
          <w:color w:val="000000" w:themeColor="text1"/>
        </w:rPr>
      </w:pPr>
      <w:r w:rsidRPr="00ED6DA5">
        <w:rPr>
          <w:rFonts w:asciiTheme="minorHAnsi" w:hAnsiTheme="minorHAnsi"/>
          <w:i/>
          <w:color w:val="000000" w:themeColor="text1"/>
        </w:rPr>
        <w:t>PET data analyses</w:t>
      </w:r>
    </w:p>
    <w:p w14:paraId="166F7AFB" w14:textId="44606A1F" w:rsidR="00F24979" w:rsidRPr="00ED6DA5" w:rsidRDefault="00F24979" w:rsidP="00F24979">
      <w:pPr>
        <w:spacing w:line="360" w:lineRule="auto"/>
        <w:ind w:firstLine="708"/>
        <w:jc w:val="both"/>
        <w:rPr>
          <w:rFonts w:asciiTheme="minorHAnsi" w:hAnsiTheme="minorHAnsi"/>
          <w:color w:val="000000" w:themeColor="text1"/>
        </w:rPr>
      </w:pPr>
      <w:r w:rsidRPr="00ED6DA5">
        <w:rPr>
          <w:rFonts w:asciiTheme="minorHAnsi" w:hAnsiTheme="minorHAnsi"/>
          <w:color w:val="000000" w:themeColor="text1"/>
        </w:rPr>
        <w:lastRenderedPageBreak/>
        <w:t>Multi-frames [</w:t>
      </w:r>
      <w:r w:rsidRPr="00ED6DA5">
        <w:rPr>
          <w:rFonts w:asciiTheme="minorHAnsi" w:hAnsiTheme="minorHAnsi"/>
          <w:color w:val="000000" w:themeColor="text1"/>
          <w:vertAlign w:val="superscript"/>
        </w:rPr>
        <w:t>18</w:t>
      </w:r>
      <w:r w:rsidRPr="00ED6DA5">
        <w:rPr>
          <w:rFonts w:asciiTheme="minorHAnsi" w:hAnsiTheme="minorHAnsi"/>
          <w:color w:val="000000" w:themeColor="text1"/>
        </w:rPr>
        <w:t>F]fallypride PET images were first realigned with the average image of the complete 120 minute acquisition for motion correction. The dynamic motion-corrected [</w:t>
      </w:r>
      <w:r w:rsidRPr="00ED6DA5">
        <w:rPr>
          <w:rFonts w:asciiTheme="minorHAnsi" w:hAnsiTheme="minorHAnsi"/>
          <w:color w:val="000000" w:themeColor="text1"/>
          <w:vertAlign w:val="superscript"/>
        </w:rPr>
        <w:t>18</w:t>
      </w:r>
      <w:r w:rsidRPr="00ED6DA5">
        <w:rPr>
          <w:rFonts w:asciiTheme="minorHAnsi" w:hAnsiTheme="minorHAnsi"/>
          <w:color w:val="000000" w:themeColor="text1"/>
        </w:rPr>
        <w:t>F]fallypride PET image was then rigidly coregistered to the corresponding individual volumetric T1-weighted MR images, obtaining [</w:t>
      </w:r>
      <w:r w:rsidRPr="00ED6DA5">
        <w:rPr>
          <w:rFonts w:asciiTheme="minorHAnsi" w:hAnsiTheme="minorHAnsi"/>
          <w:color w:val="000000" w:themeColor="text1"/>
          <w:vertAlign w:val="superscript"/>
        </w:rPr>
        <w:t>18</w:t>
      </w:r>
      <w:r w:rsidRPr="00ED6DA5">
        <w:rPr>
          <w:rFonts w:asciiTheme="minorHAnsi" w:hAnsiTheme="minorHAnsi"/>
          <w:color w:val="000000" w:themeColor="text1"/>
        </w:rPr>
        <w:t xml:space="preserve">F]fallypride data in subject native space. The individual T1-weighted MR images were then nonlinearly coregistered to the standard Montreal Neurological Institute (MNI) space MRI template. Subsequently the same was done for the PET images using the same spatial transformation as the registered MR images. T1-weighted MR images were segmented into grey matter (GM), white matter and cerebrospinal fluid within native MRI space to automatically generate a total of 83 individual regions of interest (ROIs) according to the Hammers N30R83 atlas </w:t>
      </w:r>
      <w:r w:rsidRPr="00ED6DA5">
        <w:rPr>
          <w:rFonts w:asciiTheme="minorHAnsi" w:hAnsiTheme="minorHAnsi"/>
          <w:color w:val="000000" w:themeColor="text1"/>
        </w:rPr>
        <w:fldChar w:fldCharType="begin" w:fldLock="1"/>
      </w:r>
      <w:r w:rsidR="00C715E7" w:rsidRPr="00ED6DA5">
        <w:rPr>
          <w:rFonts w:asciiTheme="minorHAnsi" w:hAnsiTheme="minorHAnsi"/>
          <w:color w:val="000000" w:themeColor="text1"/>
        </w:rPr>
        <w:instrText>ADDIN CSL_CITATION { "citationItems" : [ { "id" : "ITEM-1", "itemData" : { "DOI" : "10.1002/hbm.10123", "ISSN" : "1065-9471", "author" : [ { "dropping-particle" : "", "family" : "Hammers", "given" : "Alexander", "non-dropping-particle" : "", "parse-names" : false, "suffix" : "" }, { "dropping-particle" : "", "family" : "Allom", "given" : "Richard", "non-dropping-particle" : "", "parse-names" : false, "suffix" : "" }, { "dropping-particle" : "", "family" : "Koepp", "given" : "Matthias J.", "non-dropping-particle" : "", "parse-names" : false, "suffix" : "" }, { "dropping-particle" : "", "family" : "Free", "given" : "Samantha L.", "non-dropping-particle" : "", "parse-names" : false, "suffix" : "" }, { "dropping-particle" : "", "family" : "Myers", "given" : "Ralph", "non-dropping-particle" : "", "parse-names" : false, "suffix" : "" }, { "dropping-particle" : "", "family" : "Lemieux", "given" : "Louis", "non-dropping-particle" : "", "parse-names" : false, "suffix" : "" }, { "dropping-particle" : "", "family" : "Mitchell", "given" : "Tejal N.", "non-dropping-particle" : "", "parse-names" : false, "suffix" : "" }, { "dropping-particle" : "", "family" : "Brooks", "given" : "David J.", "non-dropping-particle" : "", "parse-names" : false, "suffix" : "" }, { "dropping-particle" : "", "family" : "Duncan", "given" : "John S.", "non-dropping-particle" : "", "parse-names" : false, "suffix" : "" } ], "container-title" : "Human Brain Mapping", "id" : "ITEM-1", "issue" : "4", "issued" : { "date-parts" : [ [ "2003", "8", "1" ] ] }, "page" : "224-247", "publisher" : "Wiley Subscription Services, Inc., A Wiley Company", "title" : "Three-dimensional maximum probability atlas of the human brain, with particular reference to the temporal lobe", "type" : "article-journal", "volume" : "19" }, "uris" : [ "http://www.mendeley.com/documents/?uuid=9278b51f-162d-3272-9ff9-a13f94dbce32" ] } ], "mendeley" : { "formattedCitation" : "(Hammers &lt;i&gt;et al.&lt;/i&gt; 2003)", "plainTextFormattedCitation" : "(Hammers et al. 2003)", "previouslyFormattedCitation" : "(Hammers et al. 2003)" }, "properties" : {  }, "schema" : "https://github.com/citation-style-language/schema/raw/master/csl-citation.json" }</w:instrText>
      </w:r>
      <w:r w:rsidRPr="00ED6DA5">
        <w:rPr>
          <w:rFonts w:asciiTheme="minorHAnsi" w:hAnsiTheme="minorHAnsi"/>
          <w:color w:val="000000" w:themeColor="text1"/>
        </w:rPr>
        <w:fldChar w:fldCharType="separate"/>
      </w:r>
      <w:r w:rsidR="00C715E7" w:rsidRPr="00ED6DA5">
        <w:rPr>
          <w:rFonts w:asciiTheme="minorHAnsi" w:hAnsiTheme="minorHAnsi"/>
          <w:noProof/>
          <w:color w:val="000000" w:themeColor="text1"/>
        </w:rPr>
        <w:t xml:space="preserve">(Hammers </w:t>
      </w:r>
      <w:r w:rsidR="00C715E7" w:rsidRPr="00ED6DA5">
        <w:rPr>
          <w:rFonts w:asciiTheme="minorHAnsi" w:hAnsiTheme="minorHAnsi"/>
          <w:i/>
          <w:noProof/>
          <w:color w:val="000000" w:themeColor="text1"/>
        </w:rPr>
        <w:t>et al.</w:t>
      </w:r>
      <w:r w:rsidR="00C715E7" w:rsidRPr="00ED6DA5">
        <w:rPr>
          <w:rFonts w:asciiTheme="minorHAnsi" w:hAnsiTheme="minorHAnsi"/>
          <w:noProof/>
          <w:color w:val="000000" w:themeColor="text1"/>
        </w:rPr>
        <w:t xml:space="preserve"> 2003)</w:t>
      </w:r>
      <w:r w:rsidRPr="00ED6DA5">
        <w:rPr>
          <w:rFonts w:asciiTheme="minorHAnsi" w:hAnsiTheme="minorHAnsi"/>
          <w:color w:val="000000" w:themeColor="text1"/>
        </w:rPr>
        <w:fldChar w:fldCharType="end"/>
      </w:r>
      <w:r w:rsidRPr="00ED6DA5">
        <w:rPr>
          <w:rFonts w:asciiTheme="minorHAnsi" w:hAnsiTheme="minorHAnsi"/>
          <w:color w:val="000000" w:themeColor="text1"/>
        </w:rPr>
        <w:t>. Automatic delineation of the deep nuclei, was performed by T1-weighted MRI parcellation in the PMOD PNEURO tool.</w:t>
      </w:r>
    </w:p>
    <w:p w14:paraId="4DCDBBFC" w14:textId="4B0A2F76" w:rsidR="00F24979" w:rsidRPr="00ED6DA5" w:rsidRDefault="00F24979" w:rsidP="00F24979">
      <w:pPr>
        <w:spacing w:line="360" w:lineRule="auto"/>
        <w:ind w:firstLine="708"/>
        <w:jc w:val="both"/>
        <w:rPr>
          <w:rFonts w:asciiTheme="minorHAnsi" w:eastAsia="Times New Roman" w:hAnsiTheme="minorHAnsi"/>
          <w:iCs/>
          <w:color w:val="000000" w:themeColor="text1"/>
          <w:lang w:eastAsia="nl-NL"/>
        </w:rPr>
      </w:pPr>
      <w:r w:rsidRPr="00ED6DA5">
        <w:rPr>
          <w:rFonts w:asciiTheme="minorHAnsi" w:hAnsiTheme="minorHAnsi"/>
          <w:color w:val="000000" w:themeColor="text1"/>
        </w:rPr>
        <w:t xml:space="preserve">For each subject, individual voxel-wise </w:t>
      </w:r>
      <w:r w:rsidRPr="00ED6DA5">
        <w:rPr>
          <w:rFonts w:asciiTheme="minorHAnsi" w:eastAsia="Times New Roman" w:hAnsiTheme="minorHAnsi"/>
          <w:iCs/>
          <w:color w:val="000000" w:themeColor="text1"/>
          <w:lang w:eastAsia="nl-NL"/>
        </w:rPr>
        <w:t>parametric maps of DA D</w:t>
      </w:r>
      <w:r w:rsidRPr="00ED6DA5">
        <w:rPr>
          <w:rFonts w:asciiTheme="minorHAnsi" w:eastAsia="Times New Roman" w:hAnsiTheme="minorHAnsi"/>
          <w:iCs/>
          <w:color w:val="000000" w:themeColor="text1"/>
          <w:vertAlign w:val="subscript"/>
          <w:lang w:eastAsia="nl-NL"/>
        </w:rPr>
        <w:t>2/3</w:t>
      </w:r>
      <w:r w:rsidRPr="00ED6DA5">
        <w:rPr>
          <w:rFonts w:asciiTheme="minorHAnsi" w:eastAsia="Times New Roman" w:hAnsiTheme="minorHAnsi"/>
          <w:iCs/>
          <w:color w:val="000000" w:themeColor="text1"/>
          <w:lang w:eastAsia="nl-NL"/>
        </w:rPr>
        <w:t xml:space="preserve"> BP</w:t>
      </w:r>
      <w:r w:rsidRPr="00ED6DA5">
        <w:rPr>
          <w:rFonts w:asciiTheme="minorHAnsi" w:eastAsia="Times New Roman" w:hAnsiTheme="minorHAnsi"/>
          <w:iCs/>
          <w:color w:val="000000" w:themeColor="text1"/>
          <w:vertAlign w:val="subscript"/>
          <w:lang w:eastAsia="nl-NL"/>
        </w:rPr>
        <w:t xml:space="preserve">ND </w:t>
      </w:r>
      <w:r w:rsidRPr="00ED6DA5">
        <w:rPr>
          <w:rFonts w:asciiTheme="minorHAnsi" w:eastAsia="Times New Roman" w:hAnsiTheme="minorHAnsi"/>
          <w:iCs/>
          <w:color w:val="000000" w:themeColor="text1"/>
          <w:lang w:eastAsia="nl-NL"/>
        </w:rPr>
        <w:fldChar w:fldCharType="begin" w:fldLock="1"/>
      </w:r>
      <w:r w:rsidR="00C715E7" w:rsidRPr="00ED6DA5">
        <w:rPr>
          <w:rFonts w:asciiTheme="minorHAnsi" w:eastAsia="Times New Roman" w:hAnsiTheme="minorHAnsi"/>
          <w:iCs/>
          <w:color w:val="000000" w:themeColor="text1"/>
          <w:lang w:eastAsia="nl-NL"/>
        </w:rPr>
        <w:instrText>ADDIN CSL_CITATION { "citationItems" : [ { "id" : "ITEM-1", "itemData" : { "DOI" : "10.1038/sj.jcbfm.9600493", "ISSN" : "0271-678X", "PMID" : "17519979", "abstract" : "An international group of experts in pharmacokinetic modeling recommends a consensus nomenclature to describe in vivo molecular imaging of reversibly binding radioligands.", "author" : [ { "dropping-particle" : "", "family" : "Innis", "given" : "Robert B", "non-dropping-particle" : "", "parse-names" : false, "suffix" : "" }, { "dropping-particle" : "", "family" : "Cunningham", "given" : "Vincent J", "non-dropping-particle" : "", "parse-names" : false, "suffix" : "" }, { "dropping-particle" : "", "family" : "Delforge", "given" : "Jacques", "non-dropping-particle" : "", "parse-names" : false, "suffix" : "" }, { "dropping-particle" : "", "family" : "Fujita", "given" : "Masahiro", "non-dropping-particle" : "", "parse-names" : false, "suffix" : "" }, { "dropping-particle" : "", "family" : "Gjedde", "given" : "Albert", "non-dropping-particle" : "", "parse-names" : false, "suffix" : "" }, { "dropping-particle" : "", "family" : "Gunn", "given" : "Roger N", "non-dropping-particle" : "", "parse-names" : false, "suffix" : "" }, { "dropping-particle" : "", "family" : "Holden", "given" : "James", "non-dropping-particle" : "", "parse-names" : false, "suffix" : "" }, { "dropping-particle" : "", "family" : "Houle", "given" : "Sylvain", "non-dropping-particle" : "", "parse-names" : false, "suffix" : "" }, { "dropping-particle" : "", "family" : "Huang", "given" : "Sung-Cheng", "non-dropping-particle" : "", "parse-names" : false, "suffix" : "" }, { "dropping-particle" : "", "family" : "Ichise", "given" : "Masanori", "non-dropping-particle" : "", "parse-names" : false, "suffix" : "" }, { "dropping-particle" : "", "family" : "Iida", "given" : "Hidehiro", "non-dropping-particle" : "", "parse-names" : false, "suffix" : "" }, { "dropping-particle" : "", "family" : "Ito", "given" : "Hiroshi", "non-dropping-particle" : "", "parse-names" : false, "suffix" : "" }, { "dropping-particle" : "", "family" : "Kimura", "given" : "Yuichi", "non-dropping-particle" : "", "parse-names" : false, "suffix" : "" }, { "dropping-particle" : "", "family" : "Koeppe", "given" : "Robert A", "non-dropping-particle" : "", "parse-names" : false, "suffix" : "" }, { "dropping-particle" : "", "family" : "Knudsen", "given" : "Gitte M", "non-dropping-particle" : "", "parse-names" : false, "suffix" : "" }, { "dropping-particle" : "", "family" : "Knuuti", "given" : "Juhani", "non-dropping-particle" : "", "parse-names" : false, "suffix" : "" }, { "dropping-particle" : "", "family" : "Lammertsma", "given" : "Adriaan A", "non-dropping-particle" : "", "parse-names" : false, "suffix" : "" }, { "dropping-particle" : "", "family" : "Laruelle", "given" : "Marc", "non-dropping-particle" : "", "parse-names" : false, "suffix" : "" }, { "dropping-particle" : "", "family" : "Logan", "given" : "Jean", "non-dropping-particle" : "", "parse-names" : false, "suffix" : "" }, { "dropping-particle" : "", "family" : "Maguire", "given" : "Ralph Paul", "non-dropping-particle" : "", "parse-names" : false, "suffix" : "" }, { "dropping-particle" : "", "family" : "Mintun", "given" : "Mark A", "non-dropping-particle" : "", "parse-names" : false, "suffix" : "" }, { "dropping-particle" : "", "family" : "Morris", "given" : "Evan D", "non-dropping-particle" : "", "parse-names" : false, "suffix" : "" }, { "dropping-particle" : "", "family" : "Parsey", "given" : "Ramin", "non-dropping-particle" : "", "parse-names" : false, "suffix" : "" }, { "dropping-particle" : "", "family" : "Price", "given" : "Julie C", "non-dropping-particle" : "", "parse-names" : false, "suffix" : "" }, { "dropping-particle" : "", "family" : "Slifstein", "given" : "Mark", "non-dropping-particle" : "", "parse-names" : false, "suffix" : "" }, { "dropping-particle" : "", "family" : "Sossi", "given" : "Vesna", "non-dropping-particle" : "", "parse-names" : false, "suffix" : "" }, { "dropping-particle" : "", "family" : "Suhara", "given" : "Tetsuya", "non-dropping-particle" : "", "parse-names" : false, "suffix" : "" }, { "dropping-particle" : "", "family" : "Votaw", "given" : "John R", "non-dropping-particle" : "", "parse-names" : false, "suffix" : "" }, { "dropping-particle" : "", "family" : "Wong", "given" : "Dean F", "non-dropping-particle" : "", "parse-names" : false, "suffix" : "" }, { "dropping-particle" : "", "family" : "Carson", "given" : "Richard E", "non-dropping-particle" : "", "parse-names" : false, "suffix" : "" } ], "container-title" : "Journal of Cerebral Blood Flow &amp; Metabolism", "id" : "ITEM-1", "issue" : "9", "issued" : { "date-parts" : [ [ "2007", "9", "9" ] ] }, "page" : "1533-1539", "title" : "Consensus Nomenclature for &lt;i&gt;in vivo&lt;/i&gt; Imaging of Reversibly Binding Radioligands", "type" : "article-journal", "volume" : "27" }, "uris" : [ "http://www.mendeley.com/documents/?uuid=4d4e8272-ee6a-305d-b061-4c85151856eb" ] } ], "mendeley" : { "formattedCitation" : "(Innis &lt;i&gt;et al.&lt;/i&gt; 2007)", "plainTextFormattedCitation" : "(Innis et al. 2007)", "previouslyFormattedCitation" : "(Innis et al. 2007)" }, "properties" : {  }, "schema" : "https://github.com/citation-style-language/schema/raw/master/csl-citation.json" }</w:instrText>
      </w:r>
      <w:r w:rsidRPr="00ED6DA5">
        <w:rPr>
          <w:rFonts w:asciiTheme="minorHAnsi" w:eastAsia="Times New Roman" w:hAnsiTheme="minorHAnsi"/>
          <w:iCs/>
          <w:color w:val="000000" w:themeColor="text1"/>
          <w:lang w:eastAsia="nl-NL"/>
        </w:rPr>
        <w:fldChar w:fldCharType="separate"/>
      </w:r>
      <w:r w:rsidR="00C715E7" w:rsidRPr="00ED6DA5">
        <w:rPr>
          <w:rFonts w:asciiTheme="minorHAnsi" w:eastAsia="Times New Roman" w:hAnsiTheme="minorHAnsi"/>
          <w:iCs/>
          <w:noProof/>
          <w:color w:val="000000" w:themeColor="text1"/>
          <w:lang w:eastAsia="nl-NL"/>
        </w:rPr>
        <w:t xml:space="preserve">(Innis </w:t>
      </w:r>
      <w:r w:rsidR="00C715E7" w:rsidRPr="00ED6DA5">
        <w:rPr>
          <w:rFonts w:asciiTheme="minorHAnsi" w:eastAsia="Times New Roman" w:hAnsiTheme="minorHAnsi"/>
          <w:i/>
          <w:iCs/>
          <w:noProof/>
          <w:color w:val="000000" w:themeColor="text1"/>
          <w:lang w:eastAsia="nl-NL"/>
        </w:rPr>
        <w:t>et al.</w:t>
      </w:r>
      <w:r w:rsidR="00C715E7" w:rsidRPr="00ED6DA5">
        <w:rPr>
          <w:rFonts w:asciiTheme="minorHAnsi" w:eastAsia="Times New Roman" w:hAnsiTheme="minorHAnsi"/>
          <w:iCs/>
          <w:noProof/>
          <w:color w:val="000000" w:themeColor="text1"/>
          <w:lang w:eastAsia="nl-NL"/>
        </w:rPr>
        <w:t xml:space="preserve"> 2007)</w:t>
      </w:r>
      <w:r w:rsidRPr="00ED6DA5">
        <w:rPr>
          <w:rFonts w:asciiTheme="minorHAnsi" w:eastAsia="Times New Roman" w:hAnsiTheme="minorHAnsi"/>
          <w:iCs/>
          <w:color w:val="000000" w:themeColor="text1"/>
          <w:lang w:eastAsia="nl-NL"/>
        </w:rPr>
        <w:fldChar w:fldCharType="end"/>
      </w:r>
      <w:r w:rsidRPr="00ED6DA5">
        <w:rPr>
          <w:rFonts w:asciiTheme="minorHAnsi" w:eastAsia="Times New Roman" w:hAnsiTheme="minorHAnsi"/>
          <w:iCs/>
          <w:color w:val="000000" w:themeColor="text1"/>
          <w:lang w:eastAsia="nl-NL"/>
        </w:rPr>
        <w:t xml:space="preserve"> were generated in patient space using the </w:t>
      </w:r>
      <w:r w:rsidRPr="00ED6DA5">
        <w:rPr>
          <w:rFonts w:asciiTheme="minorHAnsi" w:eastAsia="Times New Roman" w:hAnsiTheme="minorHAnsi"/>
          <w:color w:val="000000" w:themeColor="text1"/>
          <w:lang w:eastAsia="nl-NL"/>
        </w:rPr>
        <w:t>Ichise's Multilinear Reference Tissue Model 2 (MRTM2)</w:t>
      </w:r>
      <w:r w:rsidRPr="00ED6DA5">
        <w:rPr>
          <w:rFonts w:asciiTheme="minorHAnsi" w:eastAsia="Times New Roman" w:hAnsiTheme="minorHAnsi"/>
          <w:iCs/>
          <w:color w:val="000000" w:themeColor="text1"/>
          <w:lang w:eastAsia="nl-NL"/>
        </w:rPr>
        <w:fldChar w:fldCharType="begin" w:fldLock="1"/>
      </w:r>
      <w:r w:rsidR="00C715E7" w:rsidRPr="00ED6DA5">
        <w:rPr>
          <w:rFonts w:asciiTheme="minorHAnsi" w:eastAsia="Times New Roman" w:hAnsiTheme="minorHAnsi"/>
          <w:iCs/>
          <w:color w:val="000000" w:themeColor="text1"/>
          <w:lang w:eastAsia="nl-NL"/>
        </w:rPr>
        <w:instrText>ADDIN CSL_CITATION { "citationItems" : [ { "id" : "ITEM-1", "itemData" : { "DOI" : "10.1097/01.WCB.0000085441.37552.CA", "ISSN" : "0271-678X", "PMID" : "12973026", "abstract" : "SUMMARY The authors developed and applied two new linearized reference tissue models for parametric images of binding potential (BP) and relative delivery (R1) for [11C]DASB positron emission tomography imaging of serotonin transporters in human brain. The original multilinear reference tissue model (MRTM(O)) was modified (MRTM) and used to estimate a clearance rate (k'2) from the cerebellum (reference). Then, the number of parameters was reduced from three (MRTM) to two (MRTM2) by fixing k'2. The resulting BP and R1 estimates were compared with the corresponding nonlinear reference tissue models, SRTM and SRTM2, and one-tissue kinetic analysis (1TKA), for simulated and actual [11C]DASB data. MRTM gave k'2 estimates with little bias (&lt;1%) and small variability (&lt;6%). MRTM2 was effectively identical to SRTM2 and 1TKA, reducing BP bias markedly over MRTM(O) from 12-70% to 1-4% at the expense of somewhat increased variability. MRTM2 substantially reduced BP variability by a factor of two or three over MRTM or SRTM. MRTM2, SRTM2, and 1TKA had R1 bias &lt;0.3% and variability at least a factor of two lower than MRTM or SRTM. MRTM2 allowed rapid generation of parametric images with the noise reductions consistent with the simulations. Rapid parametric imaging by MRTM2 should be a useful method for human [11C]DASB positron emission tomography studies.", "author" : [ { "dropping-particle" : "", "family" : "Ichise", "given" : "Masanori", "non-dropping-particle" : "", "parse-names" : false, "suffix" : "" }, { "dropping-particle" : "", "family" : "Liow", "given" : "Jeih-San", "non-dropping-particle" : "", "parse-names" : false, "suffix" : "" }, { "dropping-particle" : "", "family" : "Lu", "given" : "Jian-Qiang", "non-dropping-particle" : "", "parse-names" : false, "suffix" : "" }, { "dropping-particle" : "", "family" : "Takano", "given" : "Akihiro", "non-dropping-particle" : "", "parse-names" : false, "suffix" : "" }, { "dropping-particle" : "", "family" : "Model", "given" : "Kendra", "non-dropping-particle" : "", "parse-names" : false, "suffix" : "" }, { "dropping-particle" : "", "family" : "Toyama", "given" : "Hiroshi", "non-dropping-particle" : "", "parse-names" : false, "suffix" : "" }, { "dropping-particle" : "", "family" : "Suhara", "given" : "Tetsuya", "non-dropping-particle" : "", "parse-names" : false, "suffix" : "" }, { "dropping-particle" : "", "family" : "Suzuki", "given" : "Kazutoshi", "non-dropping-particle" : "", "parse-names" : false, "suffix" : "" }, { "dropping-particle" : "", "family" : "Innis", "given" : "Robert B.", "non-dropping-particle" : "", "parse-names" : false, "suffix" : "" }, { "dropping-particle" : "", "family" : "Carson", "given" : "Richard E.", "non-dropping-particle" : "", "parse-names" : false, "suffix" : "" } ], "container-title" : "Journal of Cerebral Blood Flow &amp; Metabolism", "id" : "ITEM-1", "issue" : "9", "issued" : { "date-parts" : [ [ "2003", "9" ] ] }, "page" : "1096-1112", "title" : "Linearized Reference Tissue Parametric Imaging Methods: Application to [ &lt;sup&gt;11&lt;/sup&gt; C]DASB Positron Emission Tomography Studies of the Serotonin Transporter in Human Brain", "type" : "article-journal", "volume" : "23" }, "uris" : [ "http://www.mendeley.com/documents/?uuid=f0601caf-2e00-3598-b318-b5b42ad17dc5" ] } ], "mendeley" : { "formattedCitation" : "(Ichise &lt;i&gt;et al.&lt;/i&gt; 2003)", "plainTextFormattedCitation" : "(Ichise et al. 2003)", "previouslyFormattedCitation" : "(Ichise et al. 2003)" }, "properties" : {  }, "schema" : "https://github.com/citation-style-language/schema/raw/master/csl-citation.json" }</w:instrText>
      </w:r>
      <w:r w:rsidRPr="00ED6DA5">
        <w:rPr>
          <w:rFonts w:asciiTheme="minorHAnsi" w:eastAsia="Times New Roman" w:hAnsiTheme="minorHAnsi"/>
          <w:iCs/>
          <w:color w:val="000000" w:themeColor="text1"/>
          <w:lang w:eastAsia="nl-NL"/>
        </w:rPr>
        <w:fldChar w:fldCharType="separate"/>
      </w:r>
      <w:r w:rsidR="00C715E7" w:rsidRPr="00ED6DA5">
        <w:rPr>
          <w:rFonts w:asciiTheme="minorHAnsi" w:eastAsia="Times New Roman" w:hAnsiTheme="minorHAnsi"/>
          <w:iCs/>
          <w:noProof/>
          <w:color w:val="000000" w:themeColor="text1"/>
          <w:lang w:eastAsia="nl-NL"/>
        </w:rPr>
        <w:t xml:space="preserve">(Ichise </w:t>
      </w:r>
      <w:r w:rsidR="00C715E7" w:rsidRPr="00ED6DA5">
        <w:rPr>
          <w:rFonts w:asciiTheme="minorHAnsi" w:eastAsia="Times New Roman" w:hAnsiTheme="minorHAnsi"/>
          <w:i/>
          <w:iCs/>
          <w:noProof/>
          <w:color w:val="000000" w:themeColor="text1"/>
          <w:lang w:eastAsia="nl-NL"/>
        </w:rPr>
        <w:t>et al.</w:t>
      </w:r>
      <w:r w:rsidR="00C715E7" w:rsidRPr="00ED6DA5">
        <w:rPr>
          <w:rFonts w:asciiTheme="minorHAnsi" w:eastAsia="Times New Roman" w:hAnsiTheme="minorHAnsi"/>
          <w:iCs/>
          <w:noProof/>
          <w:color w:val="000000" w:themeColor="text1"/>
          <w:lang w:eastAsia="nl-NL"/>
        </w:rPr>
        <w:t xml:space="preserve"> 2003)</w:t>
      </w:r>
      <w:r w:rsidRPr="00ED6DA5">
        <w:rPr>
          <w:rFonts w:asciiTheme="minorHAnsi" w:eastAsia="Times New Roman" w:hAnsiTheme="minorHAnsi"/>
          <w:iCs/>
          <w:color w:val="000000" w:themeColor="text1"/>
          <w:lang w:eastAsia="nl-NL"/>
        </w:rPr>
        <w:fldChar w:fldCharType="end"/>
      </w:r>
      <w:r w:rsidRPr="00ED6DA5">
        <w:rPr>
          <w:rFonts w:asciiTheme="minorHAnsi" w:eastAsia="Times New Roman" w:hAnsiTheme="minorHAnsi"/>
          <w:iCs/>
          <w:color w:val="000000" w:themeColor="text1"/>
          <w:lang w:eastAsia="nl-NL"/>
        </w:rPr>
        <w:t>. The MRTM2 is an adapted version of Ichise´s initial multilinear reference tissue model (MRTM) reducing the numbers of parameters to two by fixing the efflux rate constant of the ligand from the reference region (k</w:t>
      </w:r>
      <w:r w:rsidRPr="00ED6DA5">
        <w:rPr>
          <w:rFonts w:asciiTheme="minorHAnsi" w:eastAsia="Times New Roman" w:hAnsiTheme="minorHAnsi"/>
          <w:iCs/>
          <w:color w:val="000000" w:themeColor="text1"/>
          <w:vertAlign w:val="subscript"/>
          <w:lang w:eastAsia="nl-NL"/>
        </w:rPr>
        <w:t>2</w:t>
      </w:r>
      <w:r w:rsidRPr="00ED6DA5">
        <w:rPr>
          <w:rFonts w:asciiTheme="minorHAnsi" w:eastAsia="Times New Roman" w:hAnsiTheme="minorHAnsi"/>
          <w:iCs/>
          <w:color w:val="000000" w:themeColor="text1"/>
          <w:lang w:eastAsia="nl-NL"/>
        </w:rPr>
        <w:t>´) in all regions to the individual k</w:t>
      </w:r>
      <w:r w:rsidRPr="00ED6DA5">
        <w:rPr>
          <w:rFonts w:asciiTheme="minorHAnsi" w:eastAsia="Times New Roman" w:hAnsiTheme="minorHAnsi"/>
          <w:iCs/>
          <w:color w:val="000000" w:themeColor="text1"/>
          <w:vertAlign w:val="subscript"/>
          <w:lang w:eastAsia="nl-NL"/>
        </w:rPr>
        <w:t>2</w:t>
      </w:r>
      <w:r w:rsidRPr="00ED6DA5">
        <w:rPr>
          <w:rFonts w:asciiTheme="minorHAnsi" w:eastAsia="Times New Roman" w:hAnsiTheme="minorHAnsi"/>
          <w:iCs/>
          <w:color w:val="000000" w:themeColor="text1"/>
          <w:lang w:eastAsia="nl-NL"/>
        </w:rPr>
        <w:t>´ value gained from a preceding MRTM analysis of regions with low noise (i.e. high BP</w:t>
      </w:r>
      <w:r w:rsidRPr="00ED6DA5">
        <w:rPr>
          <w:rFonts w:asciiTheme="minorHAnsi" w:eastAsia="Times New Roman" w:hAnsiTheme="minorHAnsi"/>
          <w:iCs/>
          <w:color w:val="000000" w:themeColor="text1"/>
          <w:vertAlign w:val="subscript"/>
          <w:lang w:eastAsia="nl-NL"/>
        </w:rPr>
        <w:t>ND</w:t>
      </w:r>
      <w:r w:rsidRPr="00ED6DA5">
        <w:rPr>
          <w:rFonts w:asciiTheme="minorHAnsi" w:eastAsia="Times New Roman" w:hAnsiTheme="minorHAnsi"/>
          <w:iCs/>
          <w:color w:val="000000" w:themeColor="text1"/>
          <w:lang w:eastAsia="nl-NL"/>
        </w:rPr>
        <w:t xml:space="preserve">). In this way voxel-wise parameter estimation is less prone to bias due to the noise in the data. As suggested by Ichise and co-workers </w:t>
      </w:r>
      <w:r w:rsidRPr="00ED6DA5">
        <w:rPr>
          <w:rFonts w:asciiTheme="minorHAnsi" w:eastAsia="Times New Roman" w:hAnsiTheme="minorHAnsi"/>
          <w:iCs/>
          <w:color w:val="000000" w:themeColor="text1"/>
          <w:lang w:eastAsia="nl-NL"/>
        </w:rPr>
        <w:fldChar w:fldCharType="begin" w:fldLock="1"/>
      </w:r>
      <w:r w:rsidR="00C715E7" w:rsidRPr="00ED6DA5">
        <w:rPr>
          <w:rFonts w:asciiTheme="minorHAnsi" w:eastAsia="Times New Roman" w:hAnsiTheme="minorHAnsi"/>
          <w:iCs/>
          <w:color w:val="000000" w:themeColor="text1"/>
          <w:lang w:eastAsia="nl-NL"/>
        </w:rPr>
        <w:instrText>ADDIN CSL_CITATION { "citationItems" : [ { "id" : "ITEM-1", "itemData" : { "DOI" : "10.1097/01.WCB.0000085441.37552.CA", "ISSN" : "0271-678X", "PMID" : "12973026", "abstract" : "SUMMARY The authors developed and applied two new linearized reference tissue models for parametric images of binding potential (BP) and relative delivery (R1) for [11C]DASB positron emission tomography imaging of serotonin transporters in human brain. The original multilinear reference tissue model (MRTM(O)) was modified (MRTM) and used to estimate a clearance rate (k'2) from the cerebellum (reference). Then, the number of parameters was reduced from three (MRTM) to two (MRTM2) by fixing k'2. The resulting BP and R1 estimates were compared with the corresponding nonlinear reference tissue models, SRTM and SRTM2, and one-tissue kinetic analysis (1TKA), for simulated and actual [11C]DASB data. MRTM gave k'2 estimates with little bias (&lt;1%) and small variability (&lt;6%). MRTM2 was effectively identical to SRTM2 and 1TKA, reducing BP bias markedly over MRTM(O) from 12-70% to 1-4% at the expense of somewhat increased variability. MRTM2 substantially reduced BP variability by a factor of two or three over MRTM or SRTM. MRTM2, SRTM2, and 1TKA had R1 bias &lt;0.3% and variability at least a factor of two lower than MRTM or SRTM. MRTM2 allowed rapid generation of parametric images with the noise reductions consistent with the simulations. Rapid parametric imaging by MRTM2 should be a useful method for human [11C]DASB positron emission tomography studies.", "author" : [ { "dropping-particle" : "", "family" : "Ichise", "given" : "Masanori", "non-dropping-particle" : "", "parse-names" : false, "suffix" : "" }, { "dropping-particle" : "", "family" : "Liow", "given" : "Jeih-San", "non-dropping-particle" : "", "parse-names" : false, "suffix" : "" }, { "dropping-particle" : "", "family" : "Lu", "given" : "Jian-Qiang", "non-dropping-particle" : "", "parse-names" : false, "suffix" : "" }, { "dropping-particle" : "", "family" : "Takano", "given" : "Akihiro", "non-dropping-particle" : "", "parse-names" : false, "suffix" : "" }, { "dropping-particle" : "", "family" : "Model", "given" : "Kendra", "non-dropping-particle" : "", "parse-names" : false, "suffix" : "" }, { "dropping-particle" : "", "family" : "Toyama", "given" : "Hiroshi", "non-dropping-particle" : "", "parse-names" : false, "suffix" : "" }, { "dropping-particle" : "", "family" : "Suhara", "given" : "Tetsuya", "non-dropping-particle" : "", "parse-names" : false, "suffix" : "" }, { "dropping-particle" : "", "family" : "Suzuki", "given" : "Kazutoshi", "non-dropping-particle" : "", "parse-names" : false, "suffix" : "" }, { "dropping-particle" : "", "family" : "Innis", "given" : "Robert B.", "non-dropping-particle" : "", "parse-names" : false, "suffix" : "" }, { "dropping-particle" : "", "family" : "Carson", "given" : "Richard E.", "non-dropping-particle" : "", "parse-names" : false, "suffix" : "" } ], "container-title" : "Journal of Cerebral Blood Flow &amp; Metabolism", "id" : "ITEM-1", "issue" : "9", "issued" : { "date-parts" : [ [ "2003", "9" ] ] }, "page" : "1096-1112", "title" : "Linearized Reference Tissue Parametric Imaging Methods: Application to [ &lt;sup&gt;11&lt;/sup&gt; C]DASB Positron Emission Tomography Studies of the Serotonin Transporter in Human Brain", "type" : "article-journal", "volume" : "23" }, "uris" : [ "http://www.mendeley.com/documents/?uuid=f0601caf-2e00-3598-b318-b5b42ad17dc5" ] } ], "mendeley" : { "formattedCitation" : "(Ichise &lt;i&gt;et al.&lt;/i&gt; 2003)", "plainTextFormattedCitation" : "(Ichise et al. 2003)", "previouslyFormattedCitation" : "(Ichise et al. 2003)" }, "properties" : {  }, "schema" : "https://github.com/citation-style-language/schema/raw/master/csl-citation.json" }</w:instrText>
      </w:r>
      <w:r w:rsidRPr="00ED6DA5">
        <w:rPr>
          <w:rFonts w:asciiTheme="minorHAnsi" w:eastAsia="Times New Roman" w:hAnsiTheme="minorHAnsi"/>
          <w:iCs/>
          <w:color w:val="000000" w:themeColor="text1"/>
          <w:lang w:eastAsia="nl-NL"/>
        </w:rPr>
        <w:fldChar w:fldCharType="separate"/>
      </w:r>
      <w:r w:rsidR="00C715E7" w:rsidRPr="00ED6DA5">
        <w:rPr>
          <w:rFonts w:asciiTheme="minorHAnsi" w:eastAsia="Times New Roman" w:hAnsiTheme="minorHAnsi"/>
          <w:iCs/>
          <w:noProof/>
          <w:color w:val="000000" w:themeColor="text1"/>
          <w:lang w:eastAsia="nl-NL"/>
        </w:rPr>
        <w:t xml:space="preserve">(Ichise </w:t>
      </w:r>
      <w:r w:rsidR="00C715E7" w:rsidRPr="00ED6DA5">
        <w:rPr>
          <w:rFonts w:asciiTheme="minorHAnsi" w:eastAsia="Times New Roman" w:hAnsiTheme="minorHAnsi"/>
          <w:i/>
          <w:iCs/>
          <w:noProof/>
          <w:color w:val="000000" w:themeColor="text1"/>
          <w:lang w:eastAsia="nl-NL"/>
        </w:rPr>
        <w:t>et al.</w:t>
      </w:r>
      <w:r w:rsidR="00C715E7" w:rsidRPr="00ED6DA5">
        <w:rPr>
          <w:rFonts w:asciiTheme="minorHAnsi" w:eastAsia="Times New Roman" w:hAnsiTheme="minorHAnsi"/>
          <w:iCs/>
          <w:noProof/>
          <w:color w:val="000000" w:themeColor="text1"/>
          <w:lang w:eastAsia="nl-NL"/>
        </w:rPr>
        <w:t xml:space="preserve"> 2003)</w:t>
      </w:r>
      <w:r w:rsidRPr="00ED6DA5">
        <w:rPr>
          <w:rFonts w:asciiTheme="minorHAnsi" w:eastAsia="Times New Roman" w:hAnsiTheme="minorHAnsi"/>
          <w:iCs/>
          <w:color w:val="000000" w:themeColor="text1"/>
          <w:lang w:eastAsia="nl-NL"/>
        </w:rPr>
        <w:fldChar w:fldCharType="end"/>
      </w:r>
      <w:r w:rsidRPr="00ED6DA5">
        <w:rPr>
          <w:rFonts w:asciiTheme="minorHAnsi" w:eastAsia="Times New Roman" w:hAnsiTheme="minorHAnsi"/>
          <w:iCs/>
          <w:color w:val="000000" w:themeColor="text1"/>
          <w:lang w:eastAsia="nl-NL"/>
        </w:rPr>
        <w:t>, we determined a priori k</w:t>
      </w:r>
      <w:r w:rsidRPr="00ED6DA5">
        <w:rPr>
          <w:rFonts w:asciiTheme="minorHAnsi" w:eastAsia="Times New Roman" w:hAnsiTheme="minorHAnsi"/>
          <w:iCs/>
          <w:color w:val="000000" w:themeColor="text1"/>
          <w:vertAlign w:val="subscript"/>
          <w:lang w:eastAsia="nl-NL"/>
        </w:rPr>
        <w:t>2</w:t>
      </w:r>
      <w:r w:rsidRPr="00ED6DA5">
        <w:rPr>
          <w:rFonts w:asciiTheme="minorHAnsi" w:eastAsia="Times New Roman" w:hAnsiTheme="minorHAnsi"/>
          <w:iCs/>
          <w:color w:val="000000" w:themeColor="text1"/>
          <w:lang w:eastAsia="nl-NL"/>
        </w:rPr>
        <w:t>´ as the average of k</w:t>
      </w:r>
      <w:r w:rsidRPr="00ED6DA5">
        <w:rPr>
          <w:rFonts w:asciiTheme="minorHAnsi" w:eastAsia="Times New Roman" w:hAnsiTheme="minorHAnsi"/>
          <w:iCs/>
          <w:color w:val="000000" w:themeColor="text1"/>
          <w:vertAlign w:val="subscript"/>
          <w:lang w:eastAsia="nl-NL"/>
        </w:rPr>
        <w:t>2</w:t>
      </w:r>
      <w:r w:rsidRPr="00ED6DA5">
        <w:rPr>
          <w:rFonts w:asciiTheme="minorHAnsi" w:eastAsia="Times New Roman" w:hAnsiTheme="minorHAnsi"/>
          <w:iCs/>
          <w:color w:val="000000" w:themeColor="text1"/>
          <w:lang w:eastAsia="nl-NL"/>
        </w:rPr>
        <w:t>´ determined with MRTM in side-averaged putamen and caudate nucleus, regions with high BP</w:t>
      </w:r>
      <w:r w:rsidRPr="00ED6DA5">
        <w:rPr>
          <w:rFonts w:asciiTheme="minorHAnsi" w:eastAsia="Times New Roman" w:hAnsiTheme="minorHAnsi"/>
          <w:iCs/>
          <w:color w:val="000000" w:themeColor="text1"/>
          <w:vertAlign w:val="subscript"/>
          <w:lang w:eastAsia="nl-NL"/>
        </w:rPr>
        <w:t>ND</w:t>
      </w:r>
      <w:r w:rsidRPr="00ED6DA5">
        <w:rPr>
          <w:rFonts w:asciiTheme="minorHAnsi" w:eastAsia="Times New Roman" w:hAnsiTheme="minorHAnsi"/>
          <w:iCs/>
          <w:color w:val="000000" w:themeColor="text1"/>
          <w:lang w:eastAsia="nl-NL"/>
        </w:rPr>
        <w:t>. This k</w:t>
      </w:r>
      <w:r w:rsidRPr="00ED6DA5">
        <w:rPr>
          <w:rFonts w:asciiTheme="minorHAnsi" w:eastAsia="Times New Roman" w:hAnsiTheme="minorHAnsi"/>
          <w:iCs/>
          <w:color w:val="000000" w:themeColor="text1"/>
          <w:vertAlign w:val="subscript"/>
          <w:lang w:eastAsia="nl-NL"/>
        </w:rPr>
        <w:t>2</w:t>
      </w:r>
      <w:r w:rsidRPr="00ED6DA5">
        <w:rPr>
          <w:rFonts w:asciiTheme="minorHAnsi" w:eastAsia="Times New Roman" w:hAnsiTheme="minorHAnsi"/>
          <w:iCs/>
          <w:color w:val="000000" w:themeColor="text1"/>
          <w:lang w:eastAsia="nl-NL"/>
        </w:rPr>
        <w:t xml:space="preserve">´ values was then used for the voxelwise MRTM2 analysis. </w:t>
      </w:r>
    </w:p>
    <w:p w14:paraId="6E11ED0F" w14:textId="7B9B7C1B" w:rsidR="007817EA" w:rsidRPr="00C95771" w:rsidRDefault="00033B80" w:rsidP="009432FA">
      <w:pPr>
        <w:pStyle w:val="Tekstzonderopmaak"/>
        <w:spacing w:line="360" w:lineRule="auto"/>
        <w:ind w:firstLine="480"/>
        <w:jc w:val="both"/>
        <w:rPr>
          <w:rFonts w:asciiTheme="minorHAnsi" w:hAnsiTheme="minorHAnsi"/>
          <w:color w:val="000000" w:themeColor="text1"/>
          <w:sz w:val="24"/>
          <w:szCs w:val="24"/>
          <w:shd w:val="clear" w:color="auto" w:fill="FFFFFF"/>
          <w:lang w:val="nl-NL"/>
        </w:rPr>
      </w:pPr>
      <w:r w:rsidRPr="00ED6DA5">
        <w:rPr>
          <w:rFonts w:asciiTheme="minorHAnsi" w:hAnsiTheme="minorHAnsi" w:cs="Calibri"/>
          <w:sz w:val="24"/>
          <w:szCs w:val="24"/>
          <w:lang w:val="en-US"/>
        </w:rPr>
        <w:t>The</w:t>
      </w:r>
      <w:r w:rsidR="007817EA" w:rsidRPr="00ED6DA5">
        <w:rPr>
          <w:rFonts w:asciiTheme="minorHAnsi" w:hAnsiTheme="minorHAnsi" w:cs="Calibri"/>
          <w:sz w:val="24"/>
          <w:szCs w:val="24"/>
          <w:lang w:val="en-US"/>
        </w:rPr>
        <w:t xml:space="preserve"> SRTM method is used over arterial input function method because the </w:t>
      </w:r>
      <w:r w:rsidR="007817EA" w:rsidRPr="00ED6DA5">
        <w:rPr>
          <w:rFonts w:asciiTheme="minorHAnsi" w:hAnsiTheme="minorHAnsi"/>
          <w:color w:val="000000" w:themeColor="text1"/>
          <w:sz w:val="24"/>
          <w:szCs w:val="24"/>
          <w:lang w:val="en-US"/>
        </w:rPr>
        <w:t xml:space="preserve">collecting of arterial blood samples adds risk, cost, measurement error, and patient discomfort to PET studies. Reference tissue methods have been found suitable for mapping striatal and extrastriatal regions with </w:t>
      </w:r>
      <w:r w:rsidR="007817EA" w:rsidRPr="00ED6DA5">
        <w:rPr>
          <w:rFonts w:asciiTheme="minorHAnsi" w:hAnsiTheme="minorHAnsi"/>
          <w:color w:val="000000" w:themeColor="text1"/>
          <w:sz w:val="24"/>
          <w:szCs w:val="24"/>
          <w:shd w:val="clear" w:color="auto" w:fill="FFFFFF"/>
          <w:vertAlign w:val="superscript"/>
          <w:lang w:val="en-US"/>
        </w:rPr>
        <w:t>18</w:t>
      </w:r>
      <w:r w:rsidR="007817EA" w:rsidRPr="00ED6DA5">
        <w:rPr>
          <w:rFonts w:asciiTheme="minorHAnsi" w:hAnsiTheme="minorHAnsi"/>
          <w:color w:val="000000" w:themeColor="text1"/>
          <w:sz w:val="24"/>
          <w:szCs w:val="24"/>
          <w:shd w:val="clear" w:color="auto" w:fill="FFFFFF"/>
          <w:lang w:val="en-US"/>
        </w:rPr>
        <w:t>F-</w:t>
      </w:r>
      <w:r w:rsidR="007817EA" w:rsidRPr="00ED6DA5">
        <w:rPr>
          <w:rFonts w:asciiTheme="minorHAnsi" w:hAnsiTheme="minorHAnsi"/>
          <w:color w:val="000000" w:themeColor="text1"/>
          <w:sz w:val="24"/>
          <w:szCs w:val="24"/>
          <w:lang w:val="en-US"/>
        </w:rPr>
        <w:t xml:space="preserve">fallypride. </w:t>
      </w:r>
      <w:r w:rsidR="007817EA" w:rsidRPr="00ED6DA5">
        <w:rPr>
          <w:rFonts w:asciiTheme="minorHAnsi" w:hAnsiTheme="minorHAnsi"/>
          <w:color w:val="000000" w:themeColor="text1"/>
          <w:sz w:val="24"/>
          <w:szCs w:val="24"/>
          <w:shd w:val="clear" w:color="auto" w:fill="FFFFFF"/>
          <w:lang w:val="en-US"/>
        </w:rPr>
        <w:t>The MRTM2 model, that was used in the current study to get BP</w:t>
      </w:r>
      <w:r w:rsidR="007817EA" w:rsidRPr="00ED6DA5">
        <w:rPr>
          <w:rFonts w:asciiTheme="minorHAnsi" w:hAnsiTheme="minorHAnsi"/>
          <w:color w:val="000000" w:themeColor="text1"/>
          <w:sz w:val="24"/>
          <w:szCs w:val="24"/>
          <w:shd w:val="clear" w:color="auto" w:fill="FFFFFF"/>
          <w:vertAlign w:val="subscript"/>
          <w:lang w:val="en-US"/>
        </w:rPr>
        <w:t>ND</w:t>
      </w:r>
      <w:r w:rsidR="007817EA" w:rsidRPr="00ED6DA5">
        <w:rPr>
          <w:rFonts w:asciiTheme="minorHAnsi" w:hAnsiTheme="minorHAnsi"/>
          <w:color w:val="000000" w:themeColor="text1"/>
          <w:sz w:val="24"/>
          <w:szCs w:val="24"/>
          <w:lang w:val="en-US"/>
        </w:rPr>
        <w:t xml:space="preserve"> has been shown to be least sensitive to noise in the dynamic PET data, employing the use of a tissue reference region to represent the kinetics of unbound </w:t>
      </w:r>
      <w:proofErr w:type="spellStart"/>
      <w:r w:rsidR="007817EA" w:rsidRPr="00ED6DA5">
        <w:rPr>
          <w:rFonts w:asciiTheme="minorHAnsi" w:hAnsiTheme="minorHAnsi"/>
          <w:color w:val="000000" w:themeColor="text1"/>
          <w:sz w:val="24"/>
          <w:szCs w:val="24"/>
          <w:lang w:val="en-US"/>
        </w:rPr>
        <w:t>radioligand</w:t>
      </w:r>
      <w:proofErr w:type="spellEnd"/>
      <w:r w:rsidR="007817EA" w:rsidRPr="00ED6DA5">
        <w:rPr>
          <w:rFonts w:asciiTheme="minorHAnsi" w:hAnsiTheme="minorHAnsi"/>
          <w:color w:val="000000" w:themeColor="text1"/>
          <w:sz w:val="24"/>
          <w:szCs w:val="24"/>
          <w:lang w:val="en-US"/>
        </w:rPr>
        <w:t xml:space="preserve"> in the tissue</w:t>
      </w:r>
      <w:r w:rsidR="009432FA" w:rsidRPr="00ED6DA5">
        <w:rPr>
          <w:rFonts w:asciiTheme="minorHAnsi" w:hAnsiTheme="minorHAnsi"/>
          <w:color w:val="000000" w:themeColor="text1"/>
          <w:sz w:val="24"/>
          <w:szCs w:val="24"/>
          <w:lang w:val="en-US"/>
        </w:rPr>
        <w:t xml:space="preserve"> </w:t>
      </w:r>
      <w:r w:rsidR="009432FA" w:rsidRPr="00ED6DA5">
        <w:rPr>
          <w:rFonts w:asciiTheme="minorHAnsi" w:hAnsiTheme="minorHAnsi"/>
          <w:color w:val="000000" w:themeColor="text1"/>
          <w:sz w:val="24"/>
          <w:szCs w:val="24"/>
          <w:lang w:val="en-US"/>
        </w:rPr>
        <w:fldChar w:fldCharType="begin" w:fldLock="1"/>
      </w:r>
      <w:r w:rsidR="009432FA" w:rsidRPr="00ED6DA5">
        <w:rPr>
          <w:rFonts w:asciiTheme="minorHAnsi" w:hAnsiTheme="minorHAnsi"/>
          <w:color w:val="000000" w:themeColor="text1"/>
          <w:sz w:val="24"/>
          <w:szCs w:val="24"/>
          <w:lang w:val="en-US"/>
        </w:rPr>
        <w:instrText>ADDIN CSL_CITATION { "citationItems" : [ { "id" : "ITEM-1", "itemData" : { "DOI" : "10.1038/jcbfm.1991.1", "ISSN" : "0271-678X", "abstract" : "The regional binding of the opiate receptor ligand diprenorphine has been examined in rat brain both in vivo and in vitro. The time course of total label in specific brain regions was followed up to 2 h after intravenous bolus injection of [3H]diprenorphine, with or without a pulse chase of unlabelled diprenorphine at 30 min. In addition, total label was measured 30 min after injection of labelled diprenorphine at nontracer concentrations over a range of specific activities. Total data sets for each region were fitted simultaneously to a compartmental model to give estimates of maximal binding capacity (Bmax), the second-order apparent association rate constant, and the first-order dissociation rate constant of the receptor-ligand complex. The model incorporated the use of a reference region with low specific binding (cerebellum). The binding of diprenorphine to rat brain homogenates was measured in vitro under equilibrium conditions at 37\u00b0C, pH 7.4, in the presence and absence of naloxone, to give corres...", "author" : [ { "dropping-particle" : "", "family" : "Cunningham", "given" : "Vincent J.", "non-dropping-particle" : "", "parse-names" : false, "suffix" : "" }, { "dropping-particle" : "", "family" : "Hume", "given" : "Susan P.", "non-dropping-particle" : "", "parse-names" : false, "suffix" : "" }, { "dropping-particle" : "", "family" : "Price", "given" : "Gary R.", "non-dropping-particle" : "", "parse-names" : false, "suffix" : "" }, { "dropping-particle" : "", "family" : "Ahier", "given" : "Randall G.", "non-dropping-particle" : "", "parse-names" : false, "suffix" : "" }, { "dropping-particle" : "", "family" : "Cremer", "given" : "Jill E.", "non-dropping-particle" : "", "parse-names" : false, "suffix" : "" }, { "dropping-particle" : "", "family" : "Jones", "given" : "Anthony K. P.", "non-dropping-particle" : "", "parse-names" : false, "suffix" : "" } ], "container-title" : "Journal of Cerebral Blood Flow &amp; Metabolism", "id" : "ITEM-1", "issue" : "1", "issued" : { "date-parts" : [ [ "1991", "1", "28" ] ] }, "page" : "1-9", "publisher" : "SAGE PublicationsSage UK: London, England", "title" : "Compartmental Analysis of Diprenorphine Binding to Opiate Receptors in the Rat in vivo and its Comparison with Equilibrium Data in vitro", "type" : "article-journal", "volume" : "11" }, "uris" : [ "http://www.mendeley.com/documents/?uuid=0e9d1371-d752-3e03-b969-f05b7f2ee2d0" ] }, { "id" : "ITEM-2", "itemData" : { "DOI" : "10.1097/00004647-199609000-00008", "ISSN" : "0271-678X", "abstract" : "The distribution volume ratio (DVR), which is a linear function of receptor availability, is widely used as a model parameter in imaging studies. The DVR corresponds to the ratio of the DV of a receptor-containing region to a nonreceptor region and generally requires the measurement of an arterial input function. Here we propose a graphical method for determining the DVR that does not require blood sampling. This method uses data from a nonreceptor region with an average tissue-to-plasma efflux constant k2 to approximate the plasma integral. Data from positron emission tomography studies with [15C]raclopride (n = 20) and [11C]d-threo-methylphenidate ([11C]dMP) (n = 8) in which plasma data were taken and used to compare results from two graphical methods, one that uses plasma data and one that does not. k2 was 0.163 and 0.051 min\u22121 for [11C]raclopride and [11C]dMP, respectively. Results from both methods were very similar, and the average percentage difference between the methods was \u22120.11% for [11C]raclop...", "author" : [ { "dropping-particle" : "", "family" : "Logan", "given" : "Jean", "non-dropping-particle" : "", "parse-names" : false, "suff</w:instrText>
      </w:r>
      <w:r w:rsidR="009432FA" w:rsidRPr="00C95771">
        <w:rPr>
          <w:rFonts w:asciiTheme="minorHAnsi" w:hAnsiTheme="minorHAnsi"/>
          <w:color w:val="000000" w:themeColor="text1"/>
          <w:sz w:val="24"/>
          <w:szCs w:val="24"/>
          <w:lang w:val="nl-NL"/>
        </w:rPr>
        <w:instrText>ix" : "" }, { "dropping-particle" : "", "family" : "Fowler", "given" : "Joanna S.", "non-dropping-particle" : "", "parse-names" : false, "suffix" : "" }, { "dropping-particle" : "", "family" : "Volkow", "given" : "Nora D.", "non-dropping-particle" : "", "parse-names" : false, "suffix" : "" }, { "dropping-particle" : "", "family" : "Wang", "given" : "Gene-Jack", "non-dropping-particle" : "", "parse-names" : false, "suffix" : "" }, { "dropping-particle" : "", "family" : "Ding", "given" : "Yu-Shin", "non-dropping-particle" : "", "parse-names" : false, "suffix" : "" }, { "dropping-particle" : "", "family" : "Alexoff", "given" : "David L.", "non-dropping-particle" : "", "parse-names" : false, "suffix" : "" } ], "container-title" : "Journal of Cerebral Blood Flow &amp; Metabolism", "id" : "ITEM-2", "issue" : "5", "issued" : { "date-parts" : [ [ "1996", "9" ] ] }, "page" : "834-840", "publisher" : "SAGE PublicationsSage UK: London, England", "title" : "Distribution Volume Ratios without Blood Sampling from Graphical Analysis of PET Data", "type" : "article-journal", "volume" : "16" }, "uris" : [ "http://www.mendeley.com/documents/?uuid=6e10e082-be10-37b6-a69b-1ec9cddfde9e" ] } ], "mendeley" : { "formattedCitation" : "(Cunningham &lt;i&gt;et al.&lt;/i&gt;, 1991; Logan &lt;i&gt;et al.&lt;/i&gt;, 1996)", "plainTextFormattedCitation" : "(Cunningham et al., 1991; Logan et al., 1996)" }, "properties" : { "noteIndex" : 0 }, "schema" : "https://github.com/citation-style-language/schema/raw/master/csl-citation.json" }</w:instrText>
      </w:r>
      <w:r w:rsidR="009432FA" w:rsidRPr="00ED6DA5">
        <w:rPr>
          <w:rFonts w:asciiTheme="minorHAnsi" w:hAnsiTheme="minorHAnsi"/>
          <w:color w:val="000000" w:themeColor="text1"/>
          <w:sz w:val="24"/>
          <w:szCs w:val="24"/>
          <w:lang w:val="en-US"/>
        </w:rPr>
        <w:fldChar w:fldCharType="separate"/>
      </w:r>
      <w:r w:rsidR="009432FA" w:rsidRPr="00C95771">
        <w:rPr>
          <w:rFonts w:asciiTheme="minorHAnsi" w:hAnsiTheme="minorHAnsi"/>
          <w:noProof/>
          <w:color w:val="000000" w:themeColor="text1"/>
          <w:sz w:val="24"/>
          <w:szCs w:val="24"/>
          <w:lang w:val="nl-NL"/>
        </w:rPr>
        <w:t>(Cunningham et al., 1991; Logan et al., 1996)</w:t>
      </w:r>
      <w:r w:rsidR="009432FA" w:rsidRPr="00ED6DA5">
        <w:rPr>
          <w:rFonts w:asciiTheme="minorHAnsi" w:hAnsiTheme="minorHAnsi"/>
          <w:color w:val="000000" w:themeColor="text1"/>
          <w:sz w:val="24"/>
          <w:szCs w:val="24"/>
          <w:lang w:val="en-US"/>
        </w:rPr>
        <w:fldChar w:fldCharType="end"/>
      </w:r>
      <w:r w:rsidR="009432FA" w:rsidRPr="00C95771">
        <w:rPr>
          <w:rFonts w:asciiTheme="minorHAnsi" w:hAnsiTheme="minorHAnsi"/>
          <w:color w:val="000000" w:themeColor="text1"/>
          <w:sz w:val="20"/>
          <w:szCs w:val="20"/>
          <w:lang w:val="nl-NL"/>
        </w:rPr>
        <w:t>.</w:t>
      </w:r>
    </w:p>
    <w:p w14:paraId="7F6ED79B" w14:textId="77777777" w:rsidR="00F24979" w:rsidRPr="00C95771" w:rsidRDefault="00F24979" w:rsidP="00F24979">
      <w:pPr>
        <w:rPr>
          <w:rFonts w:ascii="Calibri" w:eastAsia="Times New Roman" w:hAnsi="Calibri"/>
          <w:b/>
          <w:color w:val="000000" w:themeColor="text1"/>
          <w:sz w:val="20"/>
          <w:szCs w:val="20"/>
          <w:lang w:val="nl-NL"/>
        </w:rPr>
      </w:pPr>
    </w:p>
    <w:p w14:paraId="23A4748B" w14:textId="2C0C9003" w:rsidR="00F24979" w:rsidRPr="00C95771" w:rsidRDefault="00F24979" w:rsidP="005F4460">
      <w:pPr>
        <w:rPr>
          <w:rFonts w:ascii="Calibri" w:eastAsia="Times New Roman" w:hAnsi="Calibri"/>
          <w:b/>
          <w:color w:val="000000" w:themeColor="text1"/>
          <w:sz w:val="20"/>
          <w:szCs w:val="20"/>
          <w:lang w:val="nl-NL"/>
        </w:rPr>
      </w:pPr>
      <w:proofErr w:type="spellStart"/>
      <w:r w:rsidRPr="00C95771">
        <w:rPr>
          <w:rFonts w:ascii="Calibri" w:eastAsia="Times New Roman" w:hAnsi="Calibri"/>
          <w:b/>
          <w:color w:val="000000" w:themeColor="text1"/>
          <w:sz w:val="20"/>
          <w:szCs w:val="20"/>
          <w:lang w:val="nl-NL"/>
        </w:rPr>
        <w:t>References</w:t>
      </w:r>
      <w:proofErr w:type="spellEnd"/>
    </w:p>
    <w:p w14:paraId="7717BD94" w14:textId="77777777" w:rsidR="00F24979" w:rsidRPr="00C95771" w:rsidRDefault="00F24979" w:rsidP="00F24979">
      <w:pPr>
        <w:widowControl w:val="0"/>
        <w:autoSpaceDE w:val="0"/>
        <w:autoSpaceDN w:val="0"/>
        <w:adjustRightInd w:val="0"/>
        <w:ind w:left="480" w:hanging="480"/>
        <w:rPr>
          <w:rFonts w:ascii="Calibri" w:eastAsia="Times New Roman" w:hAnsi="Calibri"/>
          <w:b/>
          <w:color w:val="000000" w:themeColor="text1"/>
          <w:sz w:val="20"/>
          <w:szCs w:val="20"/>
          <w:lang w:val="nl-NL"/>
        </w:rPr>
      </w:pPr>
    </w:p>
    <w:p w14:paraId="535AAA8E" w14:textId="3F01310F" w:rsidR="00C715E7" w:rsidRPr="00ED6DA5" w:rsidRDefault="00F24979" w:rsidP="00C715E7">
      <w:pPr>
        <w:widowControl w:val="0"/>
        <w:autoSpaceDE w:val="0"/>
        <w:autoSpaceDN w:val="0"/>
        <w:adjustRightInd w:val="0"/>
        <w:jc w:val="both"/>
        <w:rPr>
          <w:rFonts w:ascii="Calibri" w:hAnsi="Calibri"/>
          <w:noProof/>
          <w:sz w:val="16"/>
          <w:szCs w:val="16"/>
        </w:rPr>
      </w:pPr>
      <w:r w:rsidRPr="00ED6DA5">
        <w:rPr>
          <w:rFonts w:ascii="Calibri" w:eastAsia="Times New Roman" w:hAnsi="Calibri"/>
          <w:b/>
          <w:color w:val="000000" w:themeColor="text1"/>
          <w:sz w:val="16"/>
          <w:szCs w:val="16"/>
        </w:rPr>
        <w:fldChar w:fldCharType="begin" w:fldLock="1"/>
      </w:r>
      <w:r w:rsidRPr="00C95771">
        <w:rPr>
          <w:rFonts w:ascii="Calibri" w:eastAsia="Times New Roman" w:hAnsi="Calibri"/>
          <w:b/>
          <w:color w:val="000000" w:themeColor="text1"/>
          <w:sz w:val="16"/>
          <w:szCs w:val="16"/>
          <w:lang w:val="nl-NL"/>
        </w:rPr>
        <w:instrText xml:space="preserve">ADDIN Mendeley Bibliography CSL_BIBLIOGRAPHY </w:instrText>
      </w:r>
      <w:r w:rsidRPr="00ED6DA5">
        <w:rPr>
          <w:rFonts w:ascii="Calibri" w:eastAsia="Times New Roman" w:hAnsi="Calibri"/>
          <w:b/>
          <w:color w:val="000000" w:themeColor="text1"/>
          <w:sz w:val="16"/>
          <w:szCs w:val="16"/>
        </w:rPr>
        <w:fldChar w:fldCharType="separate"/>
      </w:r>
      <w:r w:rsidR="00C715E7" w:rsidRPr="00C95771">
        <w:rPr>
          <w:rFonts w:ascii="Calibri" w:hAnsi="Calibri"/>
          <w:b/>
          <w:bCs/>
          <w:noProof/>
          <w:sz w:val="16"/>
          <w:szCs w:val="16"/>
          <w:lang w:val="nl-NL"/>
        </w:rPr>
        <w:t>Ceccarini J, Vrieze E, Koole M, Muylle T, Bormans G, Claes S, Van Laere K</w:t>
      </w:r>
      <w:r w:rsidR="00C715E7" w:rsidRPr="00C95771">
        <w:rPr>
          <w:rFonts w:ascii="Calibri" w:hAnsi="Calibri"/>
          <w:noProof/>
          <w:sz w:val="16"/>
          <w:szCs w:val="16"/>
          <w:lang w:val="nl-NL"/>
        </w:rPr>
        <w:t xml:space="preserve"> (2012). </w:t>
      </w:r>
      <w:r w:rsidR="00C715E7" w:rsidRPr="00ED6DA5">
        <w:rPr>
          <w:rFonts w:ascii="Calibri" w:hAnsi="Calibri"/>
          <w:noProof/>
          <w:sz w:val="16"/>
          <w:szCs w:val="16"/>
        </w:rPr>
        <w:t xml:space="preserve">Optimized in vivo detection of dopamine release using 18F-fallypride PET. Society of Nuclear Medicine </w:t>
      </w:r>
      <w:r w:rsidR="00C715E7" w:rsidRPr="00ED6DA5">
        <w:rPr>
          <w:rFonts w:ascii="Calibri" w:hAnsi="Calibri"/>
          <w:i/>
          <w:iCs/>
          <w:noProof/>
          <w:sz w:val="16"/>
          <w:szCs w:val="16"/>
        </w:rPr>
        <w:t>Journal of nuclear medicine : official publication, Society of Nuclear Medicine</w:t>
      </w:r>
      <w:r w:rsidR="00C715E7" w:rsidRPr="00ED6DA5">
        <w:rPr>
          <w:rFonts w:ascii="Calibri" w:hAnsi="Calibri"/>
          <w:noProof/>
          <w:sz w:val="16"/>
          <w:szCs w:val="16"/>
        </w:rPr>
        <w:t xml:space="preserve"> </w:t>
      </w:r>
      <w:r w:rsidR="00C715E7" w:rsidRPr="00ED6DA5">
        <w:rPr>
          <w:rFonts w:ascii="Calibri" w:hAnsi="Calibri"/>
          <w:b/>
          <w:bCs/>
          <w:noProof/>
          <w:sz w:val="16"/>
          <w:szCs w:val="16"/>
        </w:rPr>
        <w:t>53</w:t>
      </w:r>
      <w:r w:rsidR="00C715E7" w:rsidRPr="00ED6DA5">
        <w:rPr>
          <w:rFonts w:ascii="Calibri" w:hAnsi="Calibri"/>
          <w:noProof/>
          <w:sz w:val="16"/>
          <w:szCs w:val="16"/>
        </w:rPr>
        <w:t>, 1565–72.</w:t>
      </w:r>
    </w:p>
    <w:p w14:paraId="584DDF3A"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Christian B, Narayanan T, Shi B, Mukherjee J</w:t>
      </w:r>
      <w:r w:rsidRPr="00ED6DA5">
        <w:rPr>
          <w:rFonts w:ascii="Calibri" w:hAnsi="Calibri"/>
          <w:noProof/>
          <w:sz w:val="16"/>
          <w:szCs w:val="16"/>
        </w:rPr>
        <w:t xml:space="preserve"> (2000). Quantitation of striatal and extrastriatal D-2 dopamine receptors using PET imaging of [F-18]fallypride in nonhuman primates. </w:t>
      </w:r>
      <w:r w:rsidRPr="00ED6DA5">
        <w:rPr>
          <w:rFonts w:ascii="Calibri" w:hAnsi="Calibri"/>
          <w:i/>
          <w:iCs/>
          <w:noProof/>
          <w:sz w:val="16"/>
          <w:szCs w:val="16"/>
        </w:rPr>
        <w:t>Synapse</w:t>
      </w:r>
      <w:r w:rsidRPr="00ED6DA5">
        <w:rPr>
          <w:rFonts w:ascii="Calibri" w:hAnsi="Calibri"/>
          <w:noProof/>
          <w:sz w:val="16"/>
          <w:szCs w:val="16"/>
        </w:rPr>
        <w:t xml:space="preserve"> </w:t>
      </w:r>
      <w:r w:rsidRPr="00ED6DA5">
        <w:rPr>
          <w:rFonts w:ascii="Calibri" w:hAnsi="Calibri"/>
          <w:b/>
          <w:bCs/>
          <w:noProof/>
          <w:sz w:val="16"/>
          <w:szCs w:val="16"/>
        </w:rPr>
        <w:t>38</w:t>
      </w:r>
      <w:r w:rsidRPr="00ED6DA5">
        <w:rPr>
          <w:rFonts w:ascii="Calibri" w:hAnsi="Calibri"/>
          <w:noProof/>
          <w:sz w:val="16"/>
          <w:szCs w:val="16"/>
        </w:rPr>
        <w:t>, 71–79.</w:t>
      </w:r>
    </w:p>
    <w:p w14:paraId="2182A7B6"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 xml:space="preserve">Duin EDA Van, Kasanova Z, Ceccarini J, Hernaus D, Heinzel A, Mottaghy F, Booij J, Myin-germeys I, van Amelvoort T </w:t>
      </w:r>
      <w:r w:rsidRPr="00ED6DA5">
        <w:rPr>
          <w:rFonts w:ascii="Calibri" w:hAnsi="Calibri"/>
          <w:noProof/>
          <w:sz w:val="16"/>
          <w:szCs w:val="16"/>
        </w:rPr>
        <w:t xml:space="preserve">(2017). Reward Learning and Dopamine Release in Adults with 22q11DS: A Study Using [18F]fallypride Positron Emission Tomography. . Elsevier </w:t>
      </w:r>
      <w:r w:rsidRPr="00ED6DA5">
        <w:rPr>
          <w:rFonts w:ascii="Calibri" w:hAnsi="Calibri"/>
          <w:i/>
          <w:iCs/>
          <w:noProof/>
          <w:sz w:val="16"/>
          <w:szCs w:val="16"/>
        </w:rPr>
        <w:t>Biological Psychiatry - Conference Abstract SOBP</w:t>
      </w:r>
      <w:r w:rsidRPr="00ED6DA5">
        <w:rPr>
          <w:rFonts w:ascii="Calibri" w:hAnsi="Calibri"/>
          <w:noProof/>
          <w:sz w:val="16"/>
          <w:szCs w:val="16"/>
        </w:rPr>
        <w:t xml:space="preserve"> </w:t>
      </w:r>
      <w:r w:rsidRPr="00ED6DA5">
        <w:rPr>
          <w:rFonts w:ascii="Calibri" w:hAnsi="Calibri"/>
          <w:b/>
          <w:bCs/>
          <w:noProof/>
          <w:sz w:val="16"/>
          <w:szCs w:val="16"/>
        </w:rPr>
        <w:t>81</w:t>
      </w:r>
      <w:r w:rsidRPr="00ED6DA5">
        <w:rPr>
          <w:rFonts w:ascii="Calibri" w:hAnsi="Calibri"/>
          <w:noProof/>
          <w:sz w:val="16"/>
          <w:szCs w:val="16"/>
        </w:rPr>
        <w:t>, S253–S254.</w:t>
      </w:r>
    </w:p>
    <w:p w14:paraId="5BCF6C94"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Hammers A, Allom R, Koepp MJ, Free SL, Myers R, Lemieux L, Mitchell TN, Brooks DJ, Duncan JS</w:t>
      </w:r>
      <w:r w:rsidRPr="00ED6DA5">
        <w:rPr>
          <w:rFonts w:ascii="Calibri" w:hAnsi="Calibri"/>
          <w:noProof/>
          <w:sz w:val="16"/>
          <w:szCs w:val="16"/>
        </w:rPr>
        <w:t xml:space="preserve"> (2003). Three-dimensional maximum probability atlas of the human brain, with particular reference to the temporal lobe. . Wiley Subscription Services, Inc., A Wiley Company </w:t>
      </w:r>
      <w:r w:rsidRPr="00ED6DA5">
        <w:rPr>
          <w:rFonts w:ascii="Calibri" w:hAnsi="Calibri"/>
          <w:i/>
          <w:iCs/>
          <w:noProof/>
          <w:sz w:val="16"/>
          <w:szCs w:val="16"/>
        </w:rPr>
        <w:t>Human Brain Mapping</w:t>
      </w:r>
      <w:r w:rsidRPr="00ED6DA5">
        <w:rPr>
          <w:rFonts w:ascii="Calibri" w:hAnsi="Calibri"/>
          <w:noProof/>
          <w:sz w:val="16"/>
          <w:szCs w:val="16"/>
        </w:rPr>
        <w:t xml:space="preserve"> </w:t>
      </w:r>
      <w:r w:rsidRPr="00ED6DA5">
        <w:rPr>
          <w:rFonts w:ascii="Calibri" w:hAnsi="Calibri"/>
          <w:b/>
          <w:bCs/>
          <w:noProof/>
          <w:sz w:val="16"/>
          <w:szCs w:val="16"/>
        </w:rPr>
        <w:t>19</w:t>
      </w:r>
      <w:r w:rsidRPr="00ED6DA5">
        <w:rPr>
          <w:rFonts w:ascii="Calibri" w:hAnsi="Calibri"/>
          <w:noProof/>
          <w:sz w:val="16"/>
          <w:szCs w:val="16"/>
        </w:rPr>
        <w:t>, 224–247.</w:t>
      </w:r>
    </w:p>
    <w:p w14:paraId="3F854960"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C95771">
        <w:rPr>
          <w:rFonts w:ascii="Calibri" w:hAnsi="Calibri"/>
          <w:b/>
          <w:bCs/>
          <w:noProof/>
          <w:sz w:val="16"/>
          <w:szCs w:val="16"/>
          <w:lang w:val="nl-NL"/>
        </w:rPr>
        <w:t>Hernaus D, Collip D, Lataster J, Ceccarini J, Kenis G, Booij L, Pruessner J, van Laere K, van Winkel R, van Os J, Myin-Germeys I</w:t>
      </w:r>
      <w:r w:rsidRPr="00C95771">
        <w:rPr>
          <w:rFonts w:ascii="Calibri" w:hAnsi="Calibri"/>
          <w:noProof/>
          <w:sz w:val="16"/>
          <w:szCs w:val="16"/>
          <w:lang w:val="nl-NL"/>
        </w:rPr>
        <w:t xml:space="preserve"> (2013). </w:t>
      </w:r>
      <w:r w:rsidRPr="00ED6DA5">
        <w:rPr>
          <w:rFonts w:ascii="Calibri" w:hAnsi="Calibri"/>
          <w:noProof/>
          <w:sz w:val="16"/>
          <w:szCs w:val="16"/>
        </w:rPr>
        <w:t xml:space="preserve">COMT Val158Met Genotype Selectively Alters Prefrontal [18F]Fallypride Displacement and Subjective Feelings of Stress in Response to a Psychosocial Stress Challenge. </w:t>
      </w:r>
      <w:r w:rsidRPr="00ED6DA5">
        <w:rPr>
          <w:rFonts w:ascii="Calibri" w:hAnsi="Calibri"/>
          <w:i/>
          <w:iCs/>
          <w:noProof/>
          <w:sz w:val="16"/>
          <w:szCs w:val="16"/>
        </w:rPr>
        <w:t>PLoS ONE</w:t>
      </w:r>
      <w:r w:rsidRPr="00ED6DA5">
        <w:rPr>
          <w:rFonts w:ascii="Calibri" w:hAnsi="Calibri"/>
          <w:noProof/>
          <w:sz w:val="16"/>
          <w:szCs w:val="16"/>
        </w:rPr>
        <w:t xml:space="preserve"> </w:t>
      </w:r>
      <w:r w:rsidRPr="00ED6DA5">
        <w:rPr>
          <w:rFonts w:ascii="Calibri" w:hAnsi="Calibri"/>
          <w:b/>
          <w:bCs/>
          <w:noProof/>
          <w:sz w:val="16"/>
          <w:szCs w:val="16"/>
        </w:rPr>
        <w:t>8</w:t>
      </w:r>
    </w:p>
    <w:p w14:paraId="775CB905"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Ichise M, Liow J-S, Lu J-Q, Takano A, Model K, Toyama H, Suhara T, Suzuki K, Innis RB, Carson RE</w:t>
      </w:r>
      <w:r w:rsidRPr="00ED6DA5">
        <w:rPr>
          <w:rFonts w:ascii="Calibri" w:hAnsi="Calibri"/>
          <w:noProof/>
          <w:sz w:val="16"/>
          <w:szCs w:val="16"/>
        </w:rPr>
        <w:t xml:space="preserve"> (2003). Linearized Reference Tissue Parametric Imaging Methods: Application to [ </w:t>
      </w:r>
      <w:r w:rsidRPr="00ED6DA5">
        <w:rPr>
          <w:rFonts w:ascii="Calibri" w:hAnsi="Calibri"/>
          <w:noProof/>
          <w:sz w:val="16"/>
          <w:szCs w:val="16"/>
          <w:vertAlign w:val="superscript"/>
        </w:rPr>
        <w:t>11</w:t>
      </w:r>
      <w:r w:rsidRPr="00ED6DA5">
        <w:rPr>
          <w:rFonts w:ascii="Calibri" w:hAnsi="Calibri"/>
          <w:noProof/>
          <w:sz w:val="16"/>
          <w:szCs w:val="16"/>
        </w:rPr>
        <w:t xml:space="preserve"> C]DASB Positron Emission Tomography Studies of the Serotonin Transporter in Human Brain. </w:t>
      </w:r>
      <w:r w:rsidRPr="00ED6DA5">
        <w:rPr>
          <w:rFonts w:ascii="Calibri" w:hAnsi="Calibri"/>
          <w:i/>
          <w:iCs/>
          <w:noProof/>
          <w:sz w:val="16"/>
          <w:szCs w:val="16"/>
        </w:rPr>
        <w:t>Journal of Cerebral Blood Flow &amp; Metabolism</w:t>
      </w:r>
      <w:r w:rsidRPr="00ED6DA5">
        <w:rPr>
          <w:rFonts w:ascii="Calibri" w:hAnsi="Calibri"/>
          <w:noProof/>
          <w:sz w:val="16"/>
          <w:szCs w:val="16"/>
        </w:rPr>
        <w:t xml:space="preserve"> </w:t>
      </w:r>
      <w:r w:rsidRPr="00ED6DA5">
        <w:rPr>
          <w:rFonts w:ascii="Calibri" w:hAnsi="Calibri"/>
          <w:b/>
          <w:bCs/>
          <w:noProof/>
          <w:sz w:val="16"/>
          <w:szCs w:val="16"/>
        </w:rPr>
        <w:t>23</w:t>
      </w:r>
      <w:r w:rsidRPr="00ED6DA5">
        <w:rPr>
          <w:rFonts w:ascii="Calibri" w:hAnsi="Calibri"/>
          <w:noProof/>
          <w:sz w:val="16"/>
          <w:szCs w:val="16"/>
        </w:rPr>
        <w:t>, 1096–1112.</w:t>
      </w:r>
    </w:p>
    <w:p w14:paraId="3B32EA28"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Innis RB, Cunningham VJ, Delforge J, Fujita M, Gjedde A, Gunn RN, Holden J, Houle S, Huang S-C, Ichise M, Iida H, Ito H, Kimura Y, Koeppe RA, Knudsen GM, Knuuti J, Lammertsma AA, Laruelle M, Logan J, Maguire RP, Mintun MA, Morris ED, Parsey R, Price JC, Slifstein M, Sossi V, Suhara T, Votaw JR, Wong DF, Carson RE</w:t>
      </w:r>
      <w:r w:rsidRPr="00ED6DA5">
        <w:rPr>
          <w:rFonts w:ascii="Calibri" w:hAnsi="Calibri"/>
          <w:noProof/>
          <w:sz w:val="16"/>
          <w:szCs w:val="16"/>
        </w:rPr>
        <w:t xml:space="preserve"> (2007). Consensus Nomenclature for </w:t>
      </w:r>
      <w:r w:rsidRPr="00ED6DA5">
        <w:rPr>
          <w:rFonts w:ascii="Calibri" w:hAnsi="Calibri"/>
          <w:i/>
          <w:iCs/>
          <w:noProof/>
          <w:sz w:val="16"/>
          <w:szCs w:val="16"/>
        </w:rPr>
        <w:t>in vivo</w:t>
      </w:r>
      <w:r w:rsidRPr="00ED6DA5">
        <w:rPr>
          <w:rFonts w:ascii="Calibri" w:hAnsi="Calibri"/>
          <w:noProof/>
          <w:sz w:val="16"/>
          <w:szCs w:val="16"/>
        </w:rPr>
        <w:t xml:space="preserve"> Imaging of Reversibly Binding Radioligands. </w:t>
      </w:r>
      <w:r w:rsidRPr="00ED6DA5">
        <w:rPr>
          <w:rFonts w:ascii="Calibri" w:hAnsi="Calibri"/>
          <w:i/>
          <w:iCs/>
          <w:noProof/>
          <w:sz w:val="16"/>
          <w:szCs w:val="16"/>
        </w:rPr>
        <w:t>Journal of Cerebral Blood Flow &amp; Metabolism</w:t>
      </w:r>
      <w:r w:rsidRPr="00ED6DA5">
        <w:rPr>
          <w:rFonts w:ascii="Calibri" w:hAnsi="Calibri"/>
          <w:noProof/>
          <w:sz w:val="16"/>
          <w:szCs w:val="16"/>
        </w:rPr>
        <w:t xml:space="preserve"> </w:t>
      </w:r>
      <w:r w:rsidRPr="00ED6DA5">
        <w:rPr>
          <w:rFonts w:ascii="Calibri" w:hAnsi="Calibri"/>
          <w:b/>
          <w:bCs/>
          <w:noProof/>
          <w:sz w:val="16"/>
          <w:szCs w:val="16"/>
        </w:rPr>
        <w:t>27</w:t>
      </w:r>
      <w:r w:rsidRPr="00ED6DA5">
        <w:rPr>
          <w:rFonts w:ascii="Calibri" w:hAnsi="Calibri"/>
          <w:noProof/>
          <w:sz w:val="16"/>
          <w:szCs w:val="16"/>
        </w:rPr>
        <w:t>, 1533–1539.</w:t>
      </w:r>
    </w:p>
    <w:p w14:paraId="619A6465"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Kasanova Z, Ceccarini J, Frank MJ, Amelsvoort T van, Booij J, Heinzel A, Mottaghy F, Myin-Germeys I</w:t>
      </w:r>
      <w:r w:rsidRPr="00ED6DA5">
        <w:rPr>
          <w:rFonts w:ascii="Calibri" w:hAnsi="Calibri"/>
          <w:noProof/>
          <w:sz w:val="16"/>
          <w:szCs w:val="16"/>
        </w:rPr>
        <w:t xml:space="preserve"> (2017b). Striatal dopaminergic modulation of reinforcement learning predicts reward—oriented behavior in daily life. </w:t>
      </w:r>
      <w:r w:rsidRPr="00ED6DA5">
        <w:rPr>
          <w:rFonts w:ascii="Calibri" w:hAnsi="Calibri"/>
          <w:i/>
          <w:iCs/>
          <w:noProof/>
          <w:sz w:val="16"/>
          <w:szCs w:val="16"/>
        </w:rPr>
        <w:t>Biological Psychology</w:t>
      </w:r>
      <w:r w:rsidRPr="00ED6DA5">
        <w:rPr>
          <w:rFonts w:ascii="Calibri" w:hAnsi="Calibri"/>
          <w:noProof/>
          <w:sz w:val="16"/>
          <w:szCs w:val="16"/>
        </w:rPr>
        <w:t xml:space="preserve"> </w:t>
      </w:r>
      <w:r w:rsidRPr="00ED6DA5">
        <w:rPr>
          <w:rFonts w:ascii="Calibri" w:hAnsi="Calibri"/>
          <w:b/>
          <w:bCs/>
          <w:noProof/>
          <w:sz w:val="16"/>
          <w:szCs w:val="16"/>
        </w:rPr>
        <w:t>127</w:t>
      </w:r>
      <w:r w:rsidRPr="00ED6DA5">
        <w:rPr>
          <w:rFonts w:ascii="Calibri" w:hAnsi="Calibri"/>
          <w:noProof/>
          <w:sz w:val="16"/>
          <w:szCs w:val="16"/>
        </w:rPr>
        <w:t>, 1–9.</w:t>
      </w:r>
    </w:p>
    <w:p w14:paraId="7B0A5313"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Lataster J, Collip D, Ceccarini J, Haas D, Booij L, Van Os J, Pruessner J, Laere K Van, Myin-Germeys I</w:t>
      </w:r>
      <w:r w:rsidRPr="00ED6DA5">
        <w:rPr>
          <w:rFonts w:ascii="Calibri" w:hAnsi="Calibri"/>
          <w:noProof/>
          <w:sz w:val="16"/>
          <w:szCs w:val="16"/>
        </w:rPr>
        <w:t xml:space="preserve"> (2011). Psychosocial stress is associated with in vivo dopamine release in human ventromedial prefrontal cortex: A positron emission tomography study using [ 18 F]fallypride. </w:t>
      </w:r>
      <w:r w:rsidRPr="00ED6DA5">
        <w:rPr>
          <w:rFonts w:ascii="Calibri" w:hAnsi="Calibri"/>
          <w:i/>
          <w:iCs/>
          <w:noProof/>
          <w:sz w:val="16"/>
          <w:szCs w:val="16"/>
        </w:rPr>
        <w:t>NeuroImage</w:t>
      </w:r>
      <w:r w:rsidRPr="00ED6DA5">
        <w:rPr>
          <w:rFonts w:ascii="Calibri" w:hAnsi="Calibri"/>
          <w:noProof/>
          <w:sz w:val="16"/>
          <w:szCs w:val="16"/>
        </w:rPr>
        <w:t xml:space="preserve"> </w:t>
      </w:r>
      <w:r w:rsidRPr="00ED6DA5">
        <w:rPr>
          <w:rFonts w:ascii="Calibri" w:hAnsi="Calibri"/>
          <w:b/>
          <w:bCs/>
          <w:noProof/>
          <w:sz w:val="16"/>
          <w:szCs w:val="16"/>
        </w:rPr>
        <w:t>58</w:t>
      </w:r>
      <w:r w:rsidRPr="00ED6DA5">
        <w:rPr>
          <w:rFonts w:ascii="Calibri" w:hAnsi="Calibri"/>
          <w:noProof/>
          <w:sz w:val="16"/>
          <w:szCs w:val="16"/>
        </w:rPr>
        <w:t>, 1081–1089.</w:t>
      </w:r>
    </w:p>
    <w:p w14:paraId="5621FEAE" w14:textId="77777777" w:rsidR="00C715E7" w:rsidRPr="00ED6DA5" w:rsidRDefault="00C715E7" w:rsidP="00C715E7">
      <w:pPr>
        <w:widowControl w:val="0"/>
        <w:autoSpaceDE w:val="0"/>
        <w:autoSpaceDN w:val="0"/>
        <w:adjustRightInd w:val="0"/>
        <w:jc w:val="both"/>
        <w:rPr>
          <w:rFonts w:ascii="Calibri" w:hAnsi="Calibri"/>
          <w:noProof/>
          <w:sz w:val="16"/>
          <w:szCs w:val="16"/>
        </w:rPr>
      </w:pPr>
      <w:r w:rsidRPr="00ED6DA5">
        <w:rPr>
          <w:rFonts w:ascii="Calibri" w:hAnsi="Calibri"/>
          <w:b/>
          <w:bCs/>
          <w:noProof/>
          <w:sz w:val="16"/>
          <w:szCs w:val="16"/>
        </w:rPr>
        <w:t>Vernaleken I, Peters L, Raptis M, Lin R, Buchholz H-G, Zhou Y, Winz O, Rösch F, Bartenstein P, Wong DF, Scháfer WM, Gründer G</w:t>
      </w:r>
      <w:r w:rsidRPr="00ED6DA5">
        <w:rPr>
          <w:rFonts w:ascii="Calibri" w:hAnsi="Calibri"/>
          <w:noProof/>
          <w:sz w:val="16"/>
          <w:szCs w:val="16"/>
        </w:rPr>
        <w:t xml:space="preserve"> (2011). The applicability of SRTM in [ </w:t>
      </w:r>
      <w:r w:rsidRPr="00ED6DA5">
        <w:rPr>
          <w:rFonts w:ascii="Calibri" w:hAnsi="Calibri"/>
          <w:noProof/>
          <w:sz w:val="16"/>
          <w:szCs w:val="16"/>
          <w:vertAlign w:val="superscript"/>
        </w:rPr>
        <w:t>18</w:t>
      </w:r>
      <w:r w:rsidRPr="00ED6DA5">
        <w:rPr>
          <w:rFonts w:ascii="Calibri" w:hAnsi="Calibri"/>
          <w:noProof/>
          <w:sz w:val="16"/>
          <w:szCs w:val="16"/>
        </w:rPr>
        <w:t xml:space="preserve"> F]fallypride PET investigations: Impact of scan durations. </w:t>
      </w:r>
      <w:r w:rsidRPr="00ED6DA5">
        <w:rPr>
          <w:rFonts w:ascii="Calibri" w:hAnsi="Calibri"/>
          <w:i/>
          <w:iCs/>
          <w:noProof/>
          <w:sz w:val="16"/>
          <w:szCs w:val="16"/>
        </w:rPr>
        <w:t>Journal of Cerebral Blood Flow &amp; Metabolism</w:t>
      </w:r>
      <w:r w:rsidRPr="00ED6DA5">
        <w:rPr>
          <w:rFonts w:ascii="Calibri" w:hAnsi="Calibri"/>
          <w:noProof/>
          <w:sz w:val="16"/>
          <w:szCs w:val="16"/>
        </w:rPr>
        <w:t xml:space="preserve"> </w:t>
      </w:r>
      <w:r w:rsidRPr="00ED6DA5">
        <w:rPr>
          <w:rFonts w:ascii="Calibri" w:hAnsi="Calibri"/>
          <w:b/>
          <w:bCs/>
          <w:noProof/>
          <w:sz w:val="16"/>
          <w:szCs w:val="16"/>
        </w:rPr>
        <w:t>31</w:t>
      </w:r>
      <w:r w:rsidRPr="00ED6DA5">
        <w:rPr>
          <w:rFonts w:ascii="Calibri" w:hAnsi="Calibri"/>
          <w:noProof/>
          <w:sz w:val="16"/>
          <w:szCs w:val="16"/>
        </w:rPr>
        <w:t>, 1958–1966.</w:t>
      </w:r>
    </w:p>
    <w:p w14:paraId="056F32BF" w14:textId="60CB8CF2" w:rsidR="00F24979" w:rsidRPr="00ED6DA5" w:rsidRDefault="00F24979" w:rsidP="00C715E7">
      <w:pPr>
        <w:widowControl w:val="0"/>
        <w:autoSpaceDE w:val="0"/>
        <w:autoSpaceDN w:val="0"/>
        <w:adjustRightInd w:val="0"/>
        <w:ind w:left="480" w:hanging="480"/>
        <w:jc w:val="both"/>
        <w:rPr>
          <w:rFonts w:ascii="Calibri" w:eastAsia="Times New Roman" w:hAnsi="Calibri"/>
          <w:b/>
          <w:color w:val="000000" w:themeColor="text1"/>
          <w:sz w:val="16"/>
          <w:szCs w:val="16"/>
        </w:rPr>
      </w:pPr>
      <w:r w:rsidRPr="00ED6DA5">
        <w:rPr>
          <w:rFonts w:ascii="Calibri" w:eastAsia="Times New Roman" w:hAnsi="Calibri"/>
          <w:b/>
          <w:color w:val="000000" w:themeColor="text1"/>
          <w:sz w:val="16"/>
          <w:szCs w:val="16"/>
        </w:rPr>
        <w:fldChar w:fldCharType="end"/>
      </w:r>
    </w:p>
    <w:p w14:paraId="41F6E008" w14:textId="77777777" w:rsidR="00F24979" w:rsidRPr="00ED6DA5" w:rsidRDefault="00F24979" w:rsidP="00C715E7">
      <w:pPr>
        <w:jc w:val="both"/>
        <w:rPr>
          <w:rFonts w:ascii="Calibri" w:eastAsia="Times New Roman" w:hAnsi="Calibri"/>
          <w:b/>
          <w:color w:val="000000" w:themeColor="text1"/>
          <w:sz w:val="16"/>
          <w:szCs w:val="16"/>
        </w:rPr>
      </w:pPr>
      <w:r w:rsidRPr="00ED6DA5">
        <w:rPr>
          <w:rFonts w:ascii="Calibri" w:eastAsia="Times New Roman" w:hAnsi="Calibri"/>
          <w:b/>
          <w:color w:val="000000" w:themeColor="text1"/>
          <w:sz w:val="16"/>
          <w:szCs w:val="16"/>
        </w:rPr>
        <w:br w:type="page"/>
      </w:r>
    </w:p>
    <w:p w14:paraId="2E32DE1F" w14:textId="0862662F" w:rsidR="00B35E74" w:rsidRPr="00ED6DA5" w:rsidRDefault="00B35E74" w:rsidP="00B35E74">
      <w:pPr>
        <w:rPr>
          <w:rFonts w:ascii="Arial" w:eastAsia="Times New Roman" w:hAnsi="Arial" w:cs="Arial"/>
          <w:b/>
          <w:color w:val="000000" w:themeColor="text1"/>
          <w:sz w:val="16"/>
          <w:szCs w:val="16"/>
        </w:rPr>
      </w:pPr>
      <w:r w:rsidRPr="00ED6DA5">
        <w:rPr>
          <w:rFonts w:ascii="Arial" w:eastAsia="Times New Roman" w:hAnsi="Arial" w:cs="Arial"/>
          <w:b/>
          <w:sz w:val="16"/>
          <w:szCs w:val="16"/>
        </w:rPr>
        <w:lastRenderedPageBreak/>
        <w:t>Supplementary Figure 1:</w:t>
      </w:r>
      <w:r w:rsidRPr="00ED6DA5">
        <w:rPr>
          <w:rFonts w:ascii="Arial" w:eastAsia="Times New Roman" w:hAnsi="Arial" w:cs="Arial"/>
          <w:sz w:val="16"/>
          <w:szCs w:val="16"/>
        </w:rPr>
        <w:t xml:space="preserve"> Masks for the sub-frontal regions. </w:t>
      </w:r>
    </w:p>
    <w:p w14:paraId="70801AC2" w14:textId="77777777" w:rsidR="00B35E74" w:rsidRPr="00ED6DA5" w:rsidRDefault="00B35E74" w:rsidP="00B35E74">
      <w:pPr>
        <w:jc w:val="both"/>
        <w:rPr>
          <w:rFonts w:ascii="Arial" w:eastAsia="Times New Roman" w:hAnsi="Arial" w:cs="Arial"/>
          <w:sz w:val="16"/>
          <w:szCs w:val="16"/>
        </w:rPr>
      </w:pPr>
    </w:p>
    <w:p w14:paraId="7D8F79F6" w14:textId="77777777" w:rsidR="00B35E74" w:rsidRPr="00ED6DA5" w:rsidRDefault="00B35E74" w:rsidP="00B35E74">
      <w:pPr>
        <w:jc w:val="both"/>
        <w:rPr>
          <w:rFonts w:ascii="Arial" w:hAnsi="Arial" w:cs="Arial"/>
          <w:sz w:val="16"/>
          <w:szCs w:val="16"/>
        </w:rPr>
      </w:pPr>
      <w:r w:rsidRPr="00ED6DA5">
        <w:rPr>
          <w:rFonts w:ascii="Arial" w:eastAsia="Times New Roman" w:hAnsi="Arial" w:cs="Arial"/>
          <w:noProof/>
          <w:sz w:val="16"/>
          <w:szCs w:val="16"/>
          <w:lang w:val="nl-NL" w:eastAsia="nl-NL"/>
        </w:rPr>
        <w:drawing>
          <wp:inline distT="0" distB="0" distL="0" distR="0" wp14:anchorId="580FBEE0" wp14:editId="6F1A82AB">
            <wp:extent cx="5174153" cy="4415946"/>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4869" cy="4425091"/>
                    </a:xfrm>
                    <a:prstGeom prst="rect">
                      <a:avLst/>
                    </a:prstGeom>
                  </pic:spPr>
                </pic:pic>
              </a:graphicData>
            </a:graphic>
          </wp:inline>
        </w:drawing>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r w:rsidRPr="00ED6DA5">
        <w:rPr>
          <w:rFonts w:ascii="Arial" w:eastAsia="Times New Roman" w:hAnsi="Arial" w:cs="Arial"/>
          <w:sz w:val="16"/>
          <w:szCs w:val="16"/>
        </w:rPr>
        <w:tab/>
      </w:r>
    </w:p>
    <w:p w14:paraId="0446CB61" w14:textId="77777777" w:rsidR="00B35E74" w:rsidRPr="00ED6DA5" w:rsidRDefault="00B35E74" w:rsidP="00B35E74">
      <w:pPr>
        <w:jc w:val="both"/>
        <w:rPr>
          <w:rFonts w:ascii="Arial" w:eastAsia="Calibri" w:hAnsi="Arial" w:cs="Arial"/>
          <w:color w:val="000000" w:themeColor="text1"/>
          <w:sz w:val="16"/>
          <w:szCs w:val="16"/>
        </w:rPr>
      </w:pPr>
      <w:r w:rsidRPr="00ED6DA5">
        <w:rPr>
          <w:rFonts w:ascii="Arial" w:eastAsia="Calibri" w:hAnsi="Arial" w:cs="Arial"/>
          <w:color w:val="000000" w:themeColor="text1"/>
          <w:sz w:val="16"/>
          <w:szCs w:val="16"/>
        </w:rPr>
        <w:t>The masks are overlaid on a structural MRI scan and shown in transversal view.</w:t>
      </w:r>
    </w:p>
    <w:p w14:paraId="2AF50934" w14:textId="77777777" w:rsidR="00B35E74" w:rsidRPr="00ED6DA5" w:rsidRDefault="00B35E74" w:rsidP="00B35E74">
      <w:pPr>
        <w:jc w:val="both"/>
        <w:rPr>
          <w:rFonts w:ascii="Arial" w:eastAsia="Calibri" w:hAnsi="Arial" w:cs="Arial"/>
          <w:color w:val="000000" w:themeColor="text1"/>
          <w:sz w:val="16"/>
          <w:szCs w:val="16"/>
        </w:rPr>
      </w:pPr>
      <w:r w:rsidRPr="00ED6DA5">
        <w:rPr>
          <w:rFonts w:ascii="Arial" w:eastAsia="Calibri" w:hAnsi="Arial" w:cs="Arial"/>
          <w:color w:val="000000" w:themeColor="text1"/>
          <w:sz w:val="16"/>
          <w:szCs w:val="16"/>
        </w:rPr>
        <w:t>MRI = magnetic resonance imaging; PFC = prefrontal cortex; OFC = orbitofrontal cortex; ACC = anterior cingulate cortex.</w:t>
      </w:r>
    </w:p>
    <w:p w14:paraId="156ED5E0" w14:textId="77777777" w:rsidR="00B35E74" w:rsidRPr="00ED6DA5" w:rsidRDefault="00B35E74" w:rsidP="00B35E74">
      <w:pPr>
        <w:rPr>
          <w:rFonts w:ascii="Calibri Light" w:eastAsia="Calibri" w:hAnsi="Calibri Light"/>
          <w:color w:val="000000" w:themeColor="text1"/>
          <w:sz w:val="18"/>
          <w:szCs w:val="18"/>
        </w:rPr>
      </w:pPr>
    </w:p>
    <w:p w14:paraId="26F362EA" w14:textId="77777777" w:rsidR="00EF1642" w:rsidRDefault="00EF1642">
      <w:pPr>
        <w:rPr>
          <w:rFonts w:ascii="Calibri" w:eastAsia="Times New Roman" w:hAnsi="Calibri"/>
          <w:b/>
          <w:color w:val="000000" w:themeColor="text1"/>
          <w:sz w:val="20"/>
          <w:szCs w:val="20"/>
        </w:rPr>
      </w:pPr>
      <w:r>
        <w:rPr>
          <w:rFonts w:ascii="Calibri" w:eastAsia="Times New Roman" w:hAnsi="Calibri"/>
          <w:b/>
          <w:color w:val="000000" w:themeColor="text1"/>
          <w:sz w:val="20"/>
          <w:szCs w:val="20"/>
        </w:rPr>
        <w:br w:type="page"/>
      </w:r>
    </w:p>
    <w:p w14:paraId="77727DB9" w14:textId="3C7FB20B" w:rsidR="00EF1642" w:rsidRDefault="00EF1642">
      <w:pPr>
        <w:rPr>
          <w:rFonts w:ascii="Calibri" w:eastAsia="Times New Roman" w:hAnsi="Calibri"/>
          <w:b/>
          <w:color w:val="000000" w:themeColor="text1"/>
          <w:sz w:val="20"/>
          <w:szCs w:val="20"/>
        </w:rPr>
      </w:pPr>
      <w:r w:rsidRPr="00C95771">
        <w:rPr>
          <w:rFonts w:ascii="Calibri" w:eastAsia="Times New Roman" w:hAnsi="Calibri"/>
          <w:b/>
          <w:noProof/>
          <w:color w:val="000000" w:themeColor="text1"/>
          <w:sz w:val="20"/>
          <w:szCs w:val="20"/>
          <w:lang w:val="nl-NL" w:eastAsia="nl-NL"/>
        </w:rPr>
        <w:lastRenderedPageBreak/>
        <mc:AlternateContent>
          <mc:Choice Requires="wps">
            <w:drawing>
              <wp:anchor distT="0" distB="0" distL="114300" distR="114300" simplePos="0" relativeHeight="251660288" behindDoc="0" locked="0" layoutInCell="1" allowOverlap="1" wp14:anchorId="09DE269E" wp14:editId="6CEA8039">
                <wp:simplePos x="0" y="0"/>
                <wp:positionH relativeFrom="column">
                  <wp:posOffset>-47625</wp:posOffset>
                </wp:positionH>
                <wp:positionV relativeFrom="paragraph">
                  <wp:posOffset>-171450</wp:posOffset>
                </wp:positionV>
                <wp:extent cx="5686425" cy="485775"/>
                <wp:effectExtent l="0" t="0" r="9525" b="9525"/>
                <wp:wrapNone/>
                <wp:docPr id="10" name="Tekstvak 10"/>
                <wp:cNvGraphicFramePr/>
                <a:graphic xmlns:a="http://schemas.openxmlformats.org/drawingml/2006/main">
                  <a:graphicData uri="http://schemas.microsoft.com/office/word/2010/wordprocessingShape">
                    <wps:wsp>
                      <wps:cNvSpPr txBox="1"/>
                      <wps:spPr>
                        <a:xfrm>
                          <a:off x="0" y="0"/>
                          <a:ext cx="5686425" cy="485775"/>
                        </a:xfrm>
                        <a:prstGeom prst="rect">
                          <a:avLst/>
                        </a:prstGeom>
                        <a:solidFill>
                          <a:schemeClr val="lt1"/>
                        </a:solidFill>
                        <a:ln w="6350">
                          <a:noFill/>
                        </a:ln>
                      </wps:spPr>
                      <wps:txbx>
                        <w:txbxContent>
                          <w:p w14:paraId="13B8A5A4" w14:textId="7EA75D12" w:rsidR="00EF1642" w:rsidRPr="00C95771" w:rsidRDefault="00EF1642">
                            <w:pPr>
                              <w:rPr>
                                <w:rFonts w:asciiTheme="majorHAnsi" w:hAnsiTheme="majorHAnsi" w:cstheme="majorHAnsi"/>
                                <w:b/>
                              </w:rPr>
                            </w:pPr>
                            <w:r w:rsidRPr="00C95771">
                              <w:rPr>
                                <w:rFonts w:asciiTheme="majorHAnsi" w:hAnsiTheme="majorHAnsi" w:cstheme="majorHAnsi"/>
                                <w:b/>
                              </w:rPr>
                              <w:t>Supplementary figure 2. D</w:t>
                            </w:r>
                            <w:r w:rsidRPr="00C95771">
                              <w:rPr>
                                <w:rFonts w:asciiTheme="majorHAnsi" w:hAnsiTheme="majorHAnsi" w:cstheme="majorHAnsi"/>
                                <w:b/>
                                <w:vertAlign w:val="subscript"/>
                              </w:rPr>
                              <w:t>2/3</w:t>
                            </w:r>
                            <w:r w:rsidRPr="00C95771">
                              <w:rPr>
                                <w:rFonts w:asciiTheme="majorHAnsi" w:hAnsiTheme="majorHAnsi" w:cstheme="majorHAnsi"/>
                                <w:b/>
                              </w:rPr>
                              <w:t>R</w:t>
                            </w:r>
                            <w:r>
                              <w:rPr>
                                <w:rFonts w:asciiTheme="majorHAnsi" w:hAnsiTheme="majorHAnsi" w:cstheme="majorHAnsi"/>
                                <w:b/>
                                <w:vertAlign w:val="subscript"/>
                              </w:rPr>
                              <w:t xml:space="preserve"> </w:t>
                            </w:r>
                            <w:r w:rsidRPr="00C95771">
                              <w:rPr>
                                <w:rFonts w:asciiTheme="majorHAnsi" w:hAnsiTheme="majorHAnsi" w:cstheme="majorHAnsi"/>
                                <w:b/>
                              </w:rPr>
                              <w:t>BP</w:t>
                            </w:r>
                            <w:r w:rsidRPr="00C95771">
                              <w:rPr>
                                <w:rFonts w:asciiTheme="majorHAnsi" w:hAnsiTheme="majorHAnsi" w:cstheme="majorHAnsi"/>
                                <w:b/>
                                <w:vertAlign w:val="subscript"/>
                              </w:rPr>
                              <w:t>ND</w:t>
                            </w:r>
                            <w:r w:rsidRPr="00C95771">
                              <w:rPr>
                                <w:rFonts w:asciiTheme="majorHAnsi" w:hAnsiTheme="majorHAnsi" w:cstheme="majorHAnsi"/>
                                <w:b/>
                              </w:rPr>
                              <w:t xml:space="preserve"> in 22q11DS and controls</w:t>
                            </w:r>
                            <w:r w:rsidR="00DB600C">
                              <w:rPr>
                                <w:rFonts w:asciiTheme="majorHAnsi" w:hAnsiTheme="majorHAnsi" w:cstheme="majorHAnsi"/>
                                <w:b/>
                              </w:rPr>
                              <w:t xml:space="preserve"> plotted</w:t>
                            </w:r>
                            <w:r w:rsidRPr="00C95771">
                              <w:rPr>
                                <w:rFonts w:asciiTheme="majorHAnsi" w:hAnsiTheme="majorHAnsi" w:cstheme="majorHAnsi"/>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09DE269E" id="_x0000_t202" coordsize="21600,21600" o:spt="202" path="m,l,21600r21600,l21600,xe">
                <v:stroke joinstyle="miter"/>
                <v:path gradientshapeok="t" o:connecttype="rect"/>
              </v:shapetype>
              <v:shape id="Tekstvak 10" o:spid="_x0000_s1026" type="#_x0000_t202" style="position:absolute;margin-left:-3.75pt;margin-top:-13.5pt;width:447.7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" fillcolor="white [3201]" stroked="f" strokeweight=".5pt">
                <v:textbox>
                  <w:txbxContent>
                    <w:p w14:paraId="13B8A5A4" w14:textId="7EA75D12" w:rsidR="00EF1642" w:rsidRPr="00C95771" w:rsidRDefault="00EF1642">
                      <w:pPr>
                        <w:rPr>
                          <w:rFonts w:asciiTheme="majorHAnsi" w:hAnsiTheme="majorHAnsi" w:cstheme="majorHAnsi"/>
                          <w:b/>
                        </w:rPr>
                      </w:pPr>
                      <w:r w:rsidRPr="00C95771">
                        <w:rPr>
                          <w:rFonts w:asciiTheme="majorHAnsi" w:hAnsiTheme="majorHAnsi" w:cstheme="majorHAnsi"/>
                          <w:b/>
                        </w:rPr>
                        <w:t>Supplementary figure 2. D</w:t>
                      </w:r>
                      <w:r w:rsidRPr="00C95771">
                        <w:rPr>
                          <w:rFonts w:asciiTheme="majorHAnsi" w:hAnsiTheme="majorHAnsi" w:cstheme="majorHAnsi"/>
                          <w:b/>
                          <w:vertAlign w:val="subscript"/>
                        </w:rPr>
                        <w:t>2/3</w:t>
                      </w:r>
                      <w:r w:rsidRPr="00C95771">
                        <w:rPr>
                          <w:rFonts w:asciiTheme="majorHAnsi" w:hAnsiTheme="majorHAnsi" w:cstheme="majorHAnsi"/>
                          <w:b/>
                        </w:rPr>
                        <w:t>R</w:t>
                      </w:r>
                      <w:r>
                        <w:rPr>
                          <w:rFonts w:asciiTheme="majorHAnsi" w:hAnsiTheme="majorHAnsi" w:cstheme="majorHAnsi"/>
                          <w:b/>
                          <w:vertAlign w:val="subscript"/>
                        </w:rPr>
                        <w:t xml:space="preserve"> </w:t>
                      </w:r>
                      <w:r w:rsidRPr="00C95771">
                        <w:rPr>
                          <w:rFonts w:asciiTheme="majorHAnsi" w:hAnsiTheme="majorHAnsi" w:cstheme="majorHAnsi"/>
                          <w:b/>
                        </w:rPr>
                        <w:t>BP</w:t>
                      </w:r>
                      <w:r w:rsidRPr="00C95771">
                        <w:rPr>
                          <w:rFonts w:asciiTheme="majorHAnsi" w:hAnsiTheme="majorHAnsi" w:cstheme="majorHAnsi"/>
                          <w:b/>
                          <w:vertAlign w:val="subscript"/>
                        </w:rPr>
                        <w:t>ND</w:t>
                      </w:r>
                      <w:r w:rsidRPr="00C95771">
                        <w:rPr>
                          <w:rFonts w:asciiTheme="majorHAnsi" w:hAnsiTheme="majorHAnsi" w:cstheme="majorHAnsi"/>
                          <w:b/>
                        </w:rPr>
                        <w:t xml:space="preserve"> in 22q11DS and controls</w:t>
                      </w:r>
                      <w:r w:rsidR="00DB600C">
                        <w:rPr>
                          <w:rFonts w:asciiTheme="majorHAnsi" w:hAnsiTheme="majorHAnsi" w:cstheme="majorHAnsi"/>
                          <w:b/>
                        </w:rPr>
                        <w:t xml:space="preserve"> plotted</w:t>
                      </w:r>
                      <w:r w:rsidRPr="00C95771">
                        <w:rPr>
                          <w:rFonts w:asciiTheme="majorHAnsi" w:hAnsiTheme="majorHAnsi" w:cstheme="majorHAnsi"/>
                          <w:b/>
                        </w:rPr>
                        <w:t xml:space="preserve">. </w:t>
                      </w:r>
                    </w:p>
                  </w:txbxContent>
                </v:textbox>
              </v:shape>
            </w:pict>
          </mc:Fallback>
        </mc:AlternateContent>
      </w:r>
    </w:p>
    <w:p w14:paraId="7EEAC88A" w14:textId="77777777" w:rsidR="00EF1642" w:rsidRDefault="00EF1642">
      <w:pPr>
        <w:rPr>
          <w:rFonts w:ascii="Calibri" w:eastAsia="Times New Roman" w:hAnsi="Calibri"/>
          <w:b/>
          <w:color w:val="000000" w:themeColor="text1"/>
          <w:sz w:val="20"/>
          <w:szCs w:val="20"/>
        </w:rPr>
      </w:pPr>
    </w:p>
    <w:p w14:paraId="23794BB7" w14:textId="77777777" w:rsidR="00EF1642" w:rsidRDefault="00EF1642">
      <w:pPr>
        <w:rPr>
          <w:rFonts w:ascii="Calibri" w:eastAsia="Times New Roman" w:hAnsi="Calibri"/>
          <w:b/>
          <w:color w:val="000000" w:themeColor="text1"/>
          <w:sz w:val="20"/>
          <w:szCs w:val="20"/>
        </w:rPr>
      </w:pPr>
    </w:p>
    <w:p w14:paraId="2E6EBDB8" w14:textId="66336AEB" w:rsidR="00EF1642" w:rsidRDefault="00EF1642">
      <w:pPr>
        <w:rPr>
          <w:rFonts w:ascii="Calibri" w:eastAsia="Times New Roman" w:hAnsi="Calibri"/>
          <w:b/>
          <w:color w:val="000000" w:themeColor="text1"/>
          <w:sz w:val="20"/>
          <w:szCs w:val="20"/>
        </w:rPr>
      </w:pPr>
      <w:r w:rsidRPr="00C95771">
        <w:rPr>
          <w:rFonts w:ascii="Calibri" w:eastAsia="Times New Roman" w:hAnsi="Calibri"/>
          <w:b/>
          <w:noProof/>
          <w:color w:val="000000" w:themeColor="text1"/>
          <w:sz w:val="20"/>
          <w:szCs w:val="20"/>
          <w:lang w:val="nl-NL" w:eastAsia="nl-NL"/>
        </w:rPr>
        <w:drawing>
          <wp:inline distT="0" distB="0" distL="0" distR="0" wp14:anchorId="5CBF1ABF" wp14:editId="2D118E42">
            <wp:extent cx="6358890" cy="516279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4563" cy="5167399"/>
                    </a:xfrm>
                    <a:prstGeom prst="rect">
                      <a:avLst/>
                    </a:prstGeom>
                    <a:noFill/>
                  </pic:spPr>
                </pic:pic>
              </a:graphicData>
            </a:graphic>
          </wp:inline>
        </w:drawing>
      </w:r>
    </w:p>
    <w:p w14:paraId="369B78CF" w14:textId="397D1009" w:rsidR="00EF1642" w:rsidRDefault="00EF1642">
      <w:pPr>
        <w:rPr>
          <w:rFonts w:ascii="Calibri" w:eastAsia="Times New Roman" w:hAnsi="Calibri"/>
          <w:b/>
          <w:color w:val="000000" w:themeColor="text1"/>
          <w:sz w:val="20"/>
          <w:szCs w:val="20"/>
        </w:rPr>
      </w:pPr>
      <w:r w:rsidRPr="00C95771">
        <w:rPr>
          <w:rFonts w:ascii="Calibri" w:eastAsia="Times New Roman" w:hAnsi="Calibri"/>
          <w:b/>
          <w:noProof/>
          <w:color w:val="000000" w:themeColor="text1"/>
          <w:sz w:val="20"/>
          <w:szCs w:val="20"/>
          <w:lang w:val="nl-NL" w:eastAsia="nl-NL"/>
        </w:rPr>
        <mc:AlternateContent>
          <mc:Choice Requires="wps">
            <w:drawing>
              <wp:anchor distT="45720" distB="45720" distL="114300" distR="114300" simplePos="0" relativeHeight="251659264" behindDoc="0" locked="0" layoutInCell="1" allowOverlap="1" wp14:anchorId="40680F2B" wp14:editId="4163605F">
                <wp:simplePos x="0" y="0"/>
                <wp:positionH relativeFrom="page">
                  <wp:align>right</wp:align>
                </wp:positionH>
                <wp:positionV relativeFrom="paragraph">
                  <wp:posOffset>321310</wp:posOffset>
                </wp:positionV>
                <wp:extent cx="6867525" cy="518795"/>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18795"/>
                        </a:xfrm>
                        <a:prstGeom prst="rect">
                          <a:avLst/>
                        </a:prstGeom>
                        <a:solidFill>
                          <a:srgbClr val="FFFFFF"/>
                        </a:solidFill>
                        <a:ln w="9525">
                          <a:noFill/>
                          <a:miter lim="800000"/>
                          <a:headEnd/>
                          <a:tailEnd/>
                        </a:ln>
                      </wps:spPr>
                      <wps:txbx>
                        <w:txbxContent>
                          <w:p w14:paraId="1E2E719B" w14:textId="1B946F29" w:rsidR="00EF1642" w:rsidRPr="00C95771" w:rsidRDefault="00EF1642" w:rsidP="00EF1642">
                            <w:pPr>
                              <w:rPr>
                                <w:rFonts w:asciiTheme="majorHAnsi" w:hAnsiTheme="majorHAnsi" w:cstheme="majorHAnsi"/>
                                <w:sz w:val="18"/>
                                <w:szCs w:val="18"/>
                              </w:rPr>
                            </w:pPr>
                            <w:r w:rsidRPr="00C95771">
                              <w:rPr>
                                <w:rFonts w:asciiTheme="majorHAnsi" w:hAnsiTheme="majorHAnsi" w:cstheme="majorHAnsi"/>
                                <w:sz w:val="18"/>
                                <w:szCs w:val="18"/>
                              </w:rPr>
                              <w:t xml:space="preserve">Patients with 22q11DS show </w:t>
                            </w:r>
                            <w:proofErr w:type="spellStart"/>
                            <w:r w:rsidRPr="00C95771">
                              <w:rPr>
                                <w:rFonts w:asciiTheme="majorHAnsi" w:hAnsiTheme="majorHAnsi" w:cstheme="majorHAnsi"/>
                                <w:i/>
                                <w:sz w:val="18"/>
                                <w:szCs w:val="18"/>
                              </w:rPr>
                              <w:t>non</w:t>
                            </w:r>
                            <w:r w:rsidRPr="00C95771">
                              <w:rPr>
                                <w:rFonts w:asciiTheme="majorHAnsi" w:hAnsiTheme="majorHAnsi" w:cstheme="majorHAnsi"/>
                                <w:sz w:val="18"/>
                                <w:szCs w:val="18"/>
                              </w:rPr>
                              <w:t xml:space="preserve"> significant</w:t>
                            </w:r>
                            <w:proofErr w:type="spellEnd"/>
                            <w:r w:rsidRPr="00C95771">
                              <w:rPr>
                                <w:rFonts w:asciiTheme="majorHAnsi" w:hAnsiTheme="majorHAnsi" w:cstheme="majorHAnsi"/>
                                <w:sz w:val="18"/>
                                <w:szCs w:val="18"/>
                              </w:rPr>
                              <w:t xml:space="preserve"> lower D</w:t>
                            </w:r>
                            <w:r w:rsidRPr="00C95771">
                              <w:rPr>
                                <w:rFonts w:asciiTheme="majorHAnsi" w:hAnsiTheme="majorHAnsi" w:cstheme="majorHAnsi"/>
                                <w:sz w:val="18"/>
                                <w:szCs w:val="18"/>
                                <w:vertAlign w:val="subscript"/>
                              </w:rPr>
                              <w:t>2/3</w:t>
                            </w:r>
                            <w:r w:rsidRPr="00C95771">
                              <w:rPr>
                                <w:rFonts w:asciiTheme="majorHAnsi" w:hAnsiTheme="majorHAnsi" w:cstheme="majorHAnsi"/>
                                <w:sz w:val="18"/>
                                <w:szCs w:val="18"/>
                              </w:rPr>
                              <w:t>R</w:t>
                            </w:r>
                            <w:r w:rsidRPr="00C95771">
                              <w:rPr>
                                <w:rFonts w:asciiTheme="majorHAnsi" w:hAnsiTheme="majorHAnsi" w:cstheme="majorHAnsi"/>
                                <w:sz w:val="18"/>
                                <w:szCs w:val="18"/>
                                <w:vertAlign w:val="subscript"/>
                              </w:rPr>
                              <w:t xml:space="preserve"> </w:t>
                            </w:r>
                            <w:r w:rsidRPr="00C95771">
                              <w:rPr>
                                <w:rFonts w:asciiTheme="majorHAnsi" w:hAnsiTheme="majorHAnsi" w:cstheme="majorHAnsi"/>
                                <w:sz w:val="18"/>
                                <w:szCs w:val="18"/>
                              </w:rPr>
                              <w:t>BP</w:t>
                            </w:r>
                            <w:r w:rsidRPr="00C95771">
                              <w:rPr>
                                <w:rFonts w:asciiTheme="majorHAnsi" w:hAnsiTheme="majorHAnsi" w:cstheme="majorHAnsi"/>
                                <w:sz w:val="18"/>
                                <w:szCs w:val="18"/>
                                <w:vertAlign w:val="subscript"/>
                              </w:rPr>
                              <w:t>ND</w:t>
                            </w:r>
                            <w:r w:rsidRPr="00C95771">
                              <w:rPr>
                                <w:rFonts w:asciiTheme="majorHAnsi" w:hAnsiTheme="majorHAnsi" w:cstheme="majorHAnsi"/>
                                <w:b/>
                                <w:sz w:val="18"/>
                                <w:szCs w:val="18"/>
                                <w:vertAlign w:val="subscript"/>
                              </w:rPr>
                              <w:t xml:space="preserve"> </w:t>
                            </w:r>
                            <w:r w:rsidRPr="00C95771">
                              <w:rPr>
                                <w:rFonts w:asciiTheme="majorHAnsi" w:hAnsiTheme="majorHAnsi" w:cstheme="majorHAnsi"/>
                                <w:sz w:val="18"/>
                                <w:szCs w:val="18"/>
                              </w:rPr>
                              <w:t>in the A) Prefrontal cortex (PFC), B</w:t>
                            </w:r>
                            <w:r w:rsidR="00191D34">
                              <w:rPr>
                                <w:rFonts w:asciiTheme="majorHAnsi" w:hAnsiTheme="majorHAnsi" w:cstheme="majorHAnsi"/>
                                <w:sz w:val="18"/>
                                <w:szCs w:val="18"/>
                              </w:rPr>
                              <w:t>)</w:t>
                            </w:r>
                            <w:r w:rsidRPr="00C95771">
                              <w:rPr>
                                <w:rFonts w:asciiTheme="majorHAnsi" w:hAnsiTheme="majorHAnsi" w:cstheme="majorHAnsi"/>
                                <w:sz w:val="18"/>
                                <w:szCs w:val="18"/>
                              </w:rPr>
                              <w:t xml:space="preserve"> orbital</w:t>
                            </w:r>
                            <w:r w:rsidRPr="00C95771">
                              <w:rPr>
                                <w:rFonts w:asciiTheme="majorHAnsi" w:hAnsiTheme="majorHAnsi" w:cstheme="majorHAnsi"/>
                                <w:b/>
                                <w:sz w:val="18"/>
                                <w:szCs w:val="18"/>
                                <w:vertAlign w:val="subscript"/>
                              </w:rPr>
                              <w:t xml:space="preserve"> </w:t>
                            </w:r>
                            <w:r w:rsidRPr="00C95771">
                              <w:rPr>
                                <w:rFonts w:asciiTheme="majorHAnsi" w:hAnsiTheme="majorHAnsi" w:cstheme="majorHAnsi"/>
                                <w:sz w:val="18"/>
                                <w:szCs w:val="18"/>
                              </w:rPr>
                              <w:t xml:space="preserve">frontal cortex (OFC), C) </w:t>
                            </w:r>
                            <w:proofErr w:type="spellStart"/>
                            <w:r w:rsidRPr="00C95771">
                              <w:rPr>
                                <w:rFonts w:asciiTheme="majorHAnsi" w:hAnsiTheme="majorHAnsi" w:cstheme="majorHAnsi"/>
                                <w:sz w:val="18"/>
                                <w:szCs w:val="18"/>
                              </w:rPr>
                              <w:t>Anterrior</w:t>
                            </w:r>
                            <w:proofErr w:type="spellEnd"/>
                            <w:r w:rsidRPr="00C95771">
                              <w:rPr>
                                <w:rFonts w:asciiTheme="majorHAnsi" w:hAnsiTheme="majorHAnsi" w:cstheme="majorHAnsi"/>
                                <w:sz w:val="18"/>
                                <w:szCs w:val="18"/>
                              </w:rPr>
                              <w:t xml:space="preserve"> cingulate cortex (ACC) compared to healthy controls (HC). D</w:t>
                            </w:r>
                            <w:r w:rsidRPr="00C95771">
                              <w:rPr>
                                <w:rFonts w:asciiTheme="majorHAnsi" w:hAnsiTheme="majorHAnsi" w:cstheme="majorHAnsi"/>
                                <w:sz w:val="18"/>
                                <w:szCs w:val="18"/>
                                <w:vertAlign w:val="subscript"/>
                              </w:rPr>
                              <w:t>2/3</w:t>
                            </w:r>
                            <w:r w:rsidRPr="00C95771">
                              <w:rPr>
                                <w:rFonts w:asciiTheme="majorHAnsi" w:hAnsiTheme="majorHAnsi" w:cstheme="majorHAnsi"/>
                                <w:sz w:val="18"/>
                                <w:szCs w:val="18"/>
                              </w:rPr>
                              <w:t>R</w:t>
                            </w:r>
                            <w:r w:rsidRPr="00C95771">
                              <w:rPr>
                                <w:rFonts w:asciiTheme="majorHAnsi" w:hAnsiTheme="majorHAnsi" w:cstheme="majorHAnsi"/>
                                <w:sz w:val="18"/>
                                <w:szCs w:val="18"/>
                                <w:vertAlign w:val="subscript"/>
                              </w:rPr>
                              <w:t xml:space="preserve"> </w:t>
                            </w:r>
                            <w:r w:rsidRPr="00C95771">
                              <w:rPr>
                                <w:rFonts w:asciiTheme="majorHAnsi" w:hAnsiTheme="majorHAnsi" w:cstheme="majorHAnsi"/>
                                <w:sz w:val="18"/>
                                <w:szCs w:val="18"/>
                              </w:rPr>
                              <w:t>BP</w:t>
                            </w:r>
                            <w:r w:rsidRPr="00C95771">
                              <w:rPr>
                                <w:rFonts w:asciiTheme="majorHAnsi" w:hAnsiTheme="majorHAnsi" w:cstheme="majorHAnsi"/>
                                <w:sz w:val="18"/>
                                <w:szCs w:val="18"/>
                                <w:vertAlign w:val="subscript"/>
                              </w:rPr>
                              <w:t xml:space="preserve">ND </w:t>
                            </w:r>
                            <w:r w:rsidRPr="00C95771">
                              <w:rPr>
                                <w:rFonts w:asciiTheme="majorHAnsi" w:hAnsiTheme="majorHAnsi" w:cstheme="majorHAnsi"/>
                                <w:sz w:val="18"/>
                                <w:szCs w:val="18"/>
                              </w:rPr>
                              <w:t>was significantly lower</w:t>
                            </w:r>
                            <w:r w:rsidRPr="00C95771">
                              <w:rPr>
                                <w:rFonts w:asciiTheme="majorHAnsi" w:hAnsiTheme="majorHAnsi" w:cstheme="majorHAnsi"/>
                                <w:sz w:val="18"/>
                                <w:szCs w:val="18"/>
                                <w:vertAlign w:val="subscript"/>
                              </w:rPr>
                              <w:t xml:space="preserve"> </w:t>
                            </w:r>
                            <w:r w:rsidRPr="00C95771">
                              <w:rPr>
                                <w:rFonts w:asciiTheme="majorHAnsi" w:hAnsiTheme="majorHAnsi" w:cstheme="majorHAnsi"/>
                                <w:sz w:val="18"/>
                                <w:szCs w:val="18"/>
                              </w:rPr>
                              <w:t>in</w:t>
                            </w:r>
                            <w:r w:rsidR="00AF390F">
                              <w:rPr>
                                <w:rFonts w:asciiTheme="majorHAnsi" w:hAnsiTheme="majorHAnsi" w:cstheme="majorHAnsi"/>
                                <w:sz w:val="18"/>
                                <w:szCs w:val="18"/>
                              </w:rPr>
                              <w:t xml:space="preserve"> D)</w:t>
                            </w:r>
                            <w:r w:rsidRPr="00C95771">
                              <w:rPr>
                                <w:rFonts w:asciiTheme="majorHAnsi" w:hAnsiTheme="majorHAnsi" w:cstheme="majorHAnsi"/>
                                <w:sz w:val="18"/>
                                <w:szCs w:val="18"/>
                              </w:rPr>
                              <w:t xml:space="preserve"> the anterior cingulate gyrus (ACG) in 22q11DS compared to controls</w:t>
                            </w:r>
                            <w:r w:rsidR="00C95771">
                              <w:rPr>
                                <w:rFonts w:asciiTheme="majorHAnsi" w:hAnsiTheme="majorHAnsi" w:cstheme="majorHAnsi"/>
                                <w:sz w:val="18"/>
                                <w:szCs w:val="18"/>
                              </w:rPr>
                              <w:t xml:space="preserve"> following Bonferroni correction.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680F2B" id="_x0000_t202" coordsize="21600,21600" o:spt="202" path="m0,0l0,21600,21600,21600,21600,0xe">
                <v:stroke joinstyle="miter"/>
                <v:path gradientshapeok="t" o:connecttype="rect"/>
              </v:shapetype>
              <v:shape id="Tekstvak 2" o:spid="_x0000_s1027" type="#_x0000_t202" style="position:absolute;margin-left:489.55pt;margin-top:25.3pt;width:540.75pt;height:40.85pt;z-index:2516592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" stroked="f">
                <v:textbox style="mso-fit-shape-to-text:t">
                  <w:txbxContent>
                    <w:p w14:paraId="1E2E719B" w14:textId="1B946F29" w:rsidR="00EF1642" w:rsidRPr="00C95771" w:rsidRDefault="00EF1642" w:rsidP="00EF1642">
                      <w:pPr>
                        <w:rPr>
                          <w:rFonts w:asciiTheme="majorHAnsi" w:hAnsiTheme="majorHAnsi" w:cstheme="majorHAnsi"/>
                          <w:sz w:val="18"/>
                          <w:szCs w:val="18"/>
                        </w:rPr>
                      </w:pPr>
                      <w:r w:rsidRPr="00C95771">
                        <w:rPr>
                          <w:rFonts w:asciiTheme="majorHAnsi" w:hAnsiTheme="majorHAnsi" w:cstheme="majorHAnsi"/>
                          <w:sz w:val="18"/>
                          <w:szCs w:val="18"/>
                        </w:rPr>
                        <w:t xml:space="preserve">Patients with 22q11DS show </w:t>
                      </w:r>
                      <w:proofErr w:type="spellStart"/>
                      <w:r w:rsidRPr="00C95771">
                        <w:rPr>
                          <w:rFonts w:asciiTheme="majorHAnsi" w:hAnsiTheme="majorHAnsi" w:cstheme="majorHAnsi"/>
                          <w:i/>
                          <w:sz w:val="18"/>
                          <w:szCs w:val="18"/>
                        </w:rPr>
                        <w:t>non</w:t>
                      </w:r>
                      <w:r w:rsidRPr="00C95771">
                        <w:rPr>
                          <w:rFonts w:asciiTheme="majorHAnsi" w:hAnsiTheme="majorHAnsi" w:cstheme="majorHAnsi"/>
                          <w:sz w:val="18"/>
                          <w:szCs w:val="18"/>
                        </w:rPr>
                        <w:t xml:space="preserve"> significant</w:t>
                      </w:r>
                      <w:proofErr w:type="spellEnd"/>
                      <w:r w:rsidRPr="00C95771">
                        <w:rPr>
                          <w:rFonts w:asciiTheme="majorHAnsi" w:hAnsiTheme="majorHAnsi" w:cstheme="majorHAnsi"/>
                          <w:sz w:val="18"/>
                          <w:szCs w:val="18"/>
                        </w:rPr>
                        <w:t xml:space="preserve"> lower D</w:t>
                      </w:r>
                      <w:r w:rsidRPr="00C95771">
                        <w:rPr>
                          <w:rFonts w:asciiTheme="majorHAnsi" w:hAnsiTheme="majorHAnsi" w:cstheme="majorHAnsi"/>
                          <w:sz w:val="18"/>
                          <w:szCs w:val="18"/>
                          <w:vertAlign w:val="subscript"/>
                        </w:rPr>
                        <w:t>2/3</w:t>
                      </w:r>
                      <w:r w:rsidRPr="00C95771">
                        <w:rPr>
                          <w:rFonts w:asciiTheme="majorHAnsi" w:hAnsiTheme="majorHAnsi" w:cstheme="majorHAnsi"/>
                          <w:sz w:val="18"/>
                          <w:szCs w:val="18"/>
                        </w:rPr>
                        <w:t>R</w:t>
                      </w:r>
                      <w:r w:rsidRPr="00C95771">
                        <w:rPr>
                          <w:rFonts w:asciiTheme="majorHAnsi" w:hAnsiTheme="majorHAnsi" w:cstheme="majorHAnsi"/>
                          <w:sz w:val="18"/>
                          <w:szCs w:val="18"/>
                          <w:vertAlign w:val="subscript"/>
                        </w:rPr>
                        <w:t xml:space="preserve"> </w:t>
                      </w:r>
                      <w:r w:rsidRPr="00C95771">
                        <w:rPr>
                          <w:rFonts w:asciiTheme="majorHAnsi" w:hAnsiTheme="majorHAnsi" w:cstheme="majorHAnsi"/>
                          <w:sz w:val="18"/>
                          <w:szCs w:val="18"/>
                        </w:rPr>
                        <w:t>BP</w:t>
                      </w:r>
                      <w:r w:rsidRPr="00C95771">
                        <w:rPr>
                          <w:rFonts w:asciiTheme="majorHAnsi" w:hAnsiTheme="majorHAnsi" w:cstheme="majorHAnsi"/>
                          <w:sz w:val="18"/>
                          <w:szCs w:val="18"/>
                          <w:vertAlign w:val="subscript"/>
                        </w:rPr>
                        <w:t>ND</w:t>
                      </w:r>
                      <w:r w:rsidRPr="00C95771">
                        <w:rPr>
                          <w:rFonts w:asciiTheme="majorHAnsi" w:hAnsiTheme="majorHAnsi" w:cstheme="majorHAnsi"/>
                          <w:b/>
                          <w:sz w:val="18"/>
                          <w:szCs w:val="18"/>
                          <w:vertAlign w:val="subscript"/>
                        </w:rPr>
                        <w:t xml:space="preserve"> </w:t>
                      </w:r>
                      <w:r w:rsidRPr="00C95771">
                        <w:rPr>
                          <w:rFonts w:asciiTheme="majorHAnsi" w:hAnsiTheme="majorHAnsi" w:cstheme="majorHAnsi"/>
                          <w:sz w:val="18"/>
                          <w:szCs w:val="18"/>
                        </w:rPr>
                        <w:t>in the A) Prefrontal cortex (PFC), B</w:t>
                      </w:r>
                      <w:r w:rsidR="00191D34">
                        <w:rPr>
                          <w:rFonts w:asciiTheme="majorHAnsi" w:hAnsiTheme="majorHAnsi" w:cstheme="majorHAnsi"/>
                          <w:sz w:val="18"/>
                          <w:szCs w:val="18"/>
                        </w:rPr>
                        <w:t>)</w:t>
                      </w:r>
                      <w:r w:rsidRPr="00C95771">
                        <w:rPr>
                          <w:rFonts w:asciiTheme="majorHAnsi" w:hAnsiTheme="majorHAnsi" w:cstheme="majorHAnsi"/>
                          <w:sz w:val="18"/>
                          <w:szCs w:val="18"/>
                        </w:rPr>
                        <w:t xml:space="preserve"> orbital</w:t>
                      </w:r>
                      <w:r w:rsidRPr="00C95771">
                        <w:rPr>
                          <w:rFonts w:asciiTheme="majorHAnsi" w:hAnsiTheme="majorHAnsi" w:cstheme="majorHAnsi"/>
                          <w:b/>
                          <w:sz w:val="18"/>
                          <w:szCs w:val="18"/>
                          <w:vertAlign w:val="subscript"/>
                        </w:rPr>
                        <w:t xml:space="preserve"> </w:t>
                      </w:r>
                      <w:r w:rsidRPr="00C95771">
                        <w:rPr>
                          <w:rFonts w:asciiTheme="majorHAnsi" w:hAnsiTheme="majorHAnsi" w:cstheme="majorHAnsi"/>
                          <w:sz w:val="18"/>
                          <w:szCs w:val="18"/>
                        </w:rPr>
                        <w:t xml:space="preserve">frontal cortex (OFC), C) </w:t>
                      </w:r>
                      <w:proofErr w:type="spellStart"/>
                      <w:r w:rsidRPr="00C95771">
                        <w:rPr>
                          <w:rFonts w:asciiTheme="majorHAnsi" w:hAnsiTheme="majorHAnsi" w:cstheme="majorHAnsi"/>
                          <w:sz w:val="18"/>
                          <w:szCs w:val="18"/>
                        </w:rPr>
                        <w:t>Anterrior</w:t>
                      </w:r>
                      <w:proofErr w:type="spellEnd"/>
                      <w:r w:rsidRPr="00C95771">
                        <w:rPr>
                          <w:rFonts w:asciiTheme="majorHAnsi" w:hAnsiTheme="majorHAnsi" w:cstheme="majorHAnsi"/>
                          <w:sz w:val="18"/>
                          <w:szCs w:val="18"/>
                        </w:rPr>
                        <w:t xml:space="preserve"> cingulate cortex (ACC) compared to healthy controls (HC). D</w:t>
                      </w:r>
                      <w:r w:rsidRPr="00C95771">
                        <w:rPr>
                          <w:rFonts w:asciiTheme="majorHAnsi" w:hAnsiTheme="majorHAnsi" w:cstheme="majorHAnsi"/>
                          <w:sz w:val="18"/>
                          <w:szCs w:val="18"/>
                          <w:vertAlign w:val="subscript"/>
                        </w:rPr>
                        <w:t>2/3</w:t>
                      </w:r>
                      <w:r w:rsidRPr="00C95771">
                        <w:rPr>
                          <w:rFonts w:asciiTheme="majorHAnsi" w:hAnsiTheme="majorHAnsi" w:cstheme="majorHAnsi"/>
                          <w:sz w:val="18"/>
                          <w:szCs w:val="18"/>
                        </w:rPr>
                        <w:t>R</w:t>
                      </w:r>
                      <w:r w:rsidRPr="00C95771">
                        <w:rPr>
                          <w:rFonts w:asciiTheme="majorHAnsi" w:hAnsiTheme="majorHAnsi" w:cstheme="majorHAnsi"/>
                          <w:sz w:val="18"/>
                          <w:szCs w:val="18"/>
                          <w:vertAlign w:val="subscript"/>
                        </w:rPr>
                        <w:t xml:space="preserve"> </w:t>
                      </w:r>
                      <w:r w:rsidRPr="00C95771">
                        <w:rPr>
                          <w:rFonts w:asciiTheme="majorHAnsi" w:hAnsiTheme="majorHAnsi" w:cstheme="majorHAnsi"/>
                          <w:sz w:val="18"/>
                          <w:szCs w:val="18"/>
                        </w:rPr>
                        <w:t>BP</w:t>
                      </w:r>
                      <w:r w:rsidRPr="00C95771">
                        <w:rPr>
                          <w:rFonts w:asciiTheme="majorHAnsi" w:hAnsiTheme="majorHAnsi" w:cstheme="majorHAnsi"/>
                          <w:sz w:val="18"/>
                          <w:szCs w:val="18"/>
                          <w:vertAlign w:val="subscript"/>
                        </w:rPr>
                        <w:t xml:space="preserve">ND </w:t>
                      </w:r>
                      <w:r w:rsidRPr="00C95771">
                        <w:rPr>
                          <w:rFonts w:asciiTheme="majorHAnsi" w:hAnsiTheme="majorHAnsi" w:cstheme="majorHAnsi"/>
                          <w:sz w:val="18"/>
                          <w:szCs w:val="18"/>
                        </w:rPr>
                        <w:t>was significantly lower</w:t>
                      </w:r>
                      <w:r w:rsidRPr="00C95771">
                        <w:rPr>
                          <w:rFonts w:asciiTheme="majorHAnsi" w:hAnsiTheme="majorHAnsi" w:cstheme="majorHAnsi"/>
                          <w:sz w:val="18"/>
                          <w:szCs w:val="18"/>
                          <w:vertAlign w:val="subscript"/>
                        </w:rPr>
                        <w:t xml:space="preserve"> </w:t>
                      </w:r>
                      <w:r w:rsidRPr="00C95771">
                        <w:rPr>
                          <w:rFonts w:asciiTheme="majorHAnsi" w:hAnsiTheme="majorHAnsi" w:cstheme="majorHAnsi"/>
                          <w:sz w:val="18"/>
                          <w:szCs w:val="18"/>
                        </w:rPr>
                        <w:t>in</w:t>
                      </w:r>
                      <w:r w:rsidR="00AF390F">
                        <w:rPr>
                          <w:rFonts w:asciiTheme="majorHAnsi" w:hAnsiTheme="majorHAnsi" w:cstheme="majorHAnsi"/>
                          <w:sz w:val="18"/>
                          <w:szCs w:val="18"/>
                        </w:rPr>
                        <w:t xml:space="preserve"> D)</w:t>
                      </w:r>
                      <w:r w:rsidRPr="00C95771">
                        <w:rPr>
                          <w:rFonts w:asciiTheme="majorHAnsi" w:hAnsiTheme="majorHAnsi" w:cstheme="majorHAnsi"/>
                          <w:sz w:val="18"/>
                          <w:szCs w:val="18"/>
                        </w:rPr>
                        <w:t xml:space="preserve"> the anterior cingulate gyrus (ACG) in 22q11DS compared to controls</w:t>
                      </w:r>
                      <w:r w:rsidR="00C95771">
                        <w:rPr>
                          <w:rFonts w:asciiTheme="majorHAnsi" w:hAnsiTheme="majorHAnsi" w:cstheme="majorHAnsi"/>
                          <w:sz w:val="18"/>
                          <w:szCs w:val="18"/>
                        </w:rPr>
                        <w:t xml:space="preserve"> following Bonferroni correction.</w:t>
                      </w:r>
                    </w:p>
                  </w:txbxContent>
                </v:textbox>
                <w10:wrap type="square" anchorx="page"/>
              </v:shape>
            </w:pict>
          </mc:Fallback>
        </mc:AlternateContent>
      </w:r>
    </w:p>
    <w:p w14:paraId="4F6C343E" w14:textId="6B80980B" w:rsidR="00EF1642" w:rsidRDefault="00EF1642">
      <w:pPr>
        <w:rPr>
          <w:rFonts w:ascii="Calibri" w:eastAsia="Times New Roman" w:hAnsi="Calibri"/>
          <w:b/>
          <w:color w:val="000000" w:themeColor="text1"/>
          <w:sz w:val="20"/>
          <w:szCs w:val="20"/>
        </w:rPr>
      </w:pPr>
    </w:p>
    <w:p w14:paraId="17915FE9" w14:textId="22E154C0" w:rsidR="00B35E74" w:rsidRDefault="00B35E74">
      <w:pPr>
        <w:rPr>
          <w:rFonts w:ascii="Calibri" w:eastAsia="Times New Roman" w:hAnsi="Calibri"/>
          <w:b/>
          <w:color w:val="000000" w:themeColor="text1"/>
          <w:sz w:val="20"/>
          <w:szCs w:val="20"/>
        </w:rPr>
      </w:pPr>
      <w:r w:rsidRPr="00ED6DA5">
        <w:rPr>
          <w:rFonts w:ascii="Calibri" w:eastAsia="Times New Roman" w:hAnsi="Calibri"/>
          <w:b/>
          <w:color w:val="000000" w:themeColor="text1"/>
          <w:sz w:val="20"/>
          <w:szCs w:val="20"/>
        </w:rPr>
        <w:br w:type="page"/>
      </w:r>
    </w:p>
    <w:p w14:paraId="3907C76B" w14:textId="77777777" w:rsidR="00EF1642" w:rsidRPr="00ED6DA5" w:rsidRDefault="00EF1642">
      <w:pPr>
        <w:rPr>
          <w:rFonts w:ascii="Calibri" w:eastAsia="Times New Roman" w:hAnsi="Calibri"/>
          <w:b/>
          <w:color w:val="000000" w:themeColor="text1"/>
          <w:sz w:val="20"/>
          <w:szCs w:val="20"/>
        </w:rPr>
      </w:pPr>
    </w:p>
    <w:p w14:paraId="765DFC81" w14:textId="2D9A4F6B" w:rsidR="00B35E74" w:rsidRPr="00ED6DA5" w:rsidRDefault="00B35E74" w:rsidP="00B35E74">
      <w:pPr>
        <w:rPr>
          <w:rFonts w:ascii="Calibri" w:eastAsia="Times New Roman" w:hAnsi="Calibri"/>
          <w:color w:val="000000" w:themeColor="text1"/>
          <w:sz w:val="20"/>
          <w:szCs w:val="20"/>
        </w:rPr>
      </w:pPr>
      <w:r w:rsidRPr="00ED6DA5">
        <w:rPr>
          <w:rFonts w:ascii="Calibri" w:eastAsia="Times New Roman" w:hAnsi="Calibri"/>
          <w:b/>
          <w:color w:val="000000" w:themeColor="text1"/>
          <w:sz w:val="20"/>
          <w:szCs w:val="20"/>
        </w:rPr>
        <w:t xml:space="preserve">Supplementary Table 1: </w:t>
      </w:r>
      <w:r w:rsidRPr="00ED6DA5">
        <w:rPr>
          <w:rFonts w:ascii="Calibri" w:eastAsia="Times New Roman" w:hAnsi="Calibri"/>
          <w:color w:val="000000" w:themeColor="text1"/>
          <w:sz w:val="20"/>
          <w:szCs w:val="20"/>
        </w:rPr>
        <w:t>Binding potential (BP</w:t>
      </w:r>
      <w:r w:rsidRPr="00ED6DA5">
        <w:rPr>
          <w:rFonts w:ascii="Calibri" w:eastAsia="Times New Roman" w:hAnsi="Calibri"/>
          <w:color w:val="000000" w:themeColor="text1"/>
          <w:sz w:val="20"/>
          <w:szCs w:val="20"/>
          <w:vertAlign w:val="subscript"/>
        </w:rPr>
        <w:t>ND</w:t>
      </w:r>
      <w:r w:rsidRPr="00ED6DA5">
        <w:rPr>
          <w:rFonts w:ascii="Calibri" w:eastAsia="Times New Roman" w:hAnsi="Calibri"/>
          <w:color w:val="000000" w:themeColor="text1"/>
          <w:sz w:val="20"/>
          <w:szCs w:val="20"/>
        </w:rPr>
        <w:t xml:space="preserve">) per sub-region of interest (ROI) </w:t>
      </w:r>
    </w:p>
    <w:p w14:paraId="47E93AC8" w14:textId="77777777" w:rsidR="005F4460" w:rsidRPr="00ED6DA5" w:rsidRDefault="005F4460" w:rsidP="00B35E74">
      <w:pPr>
        <w:rPr>
          <w:rFonts w:ascii="Calibri" w:eastAsia="Times New Roman" w:hAnsi="Calibri"/>
          <w:b/>
          <w:color w:val="000000" w:themeColor="text1"/>
          <w:sz w:val="20"/>
          <w:szCs w:val="20"/>
        </w:rPr>
      </w:pPr>
    </w:p>
    <w:p w14:paraId="0EACCF50" w14:textId="77777777" w:rsidR="00B35E74" w:rsidRPr="00ED6DA5" w:rsidRDefault="00B35E74" w:rsidP="00B35E74">
      <w:pPr>
        <w:rPr>
          <w:rFonts w:ascii="Calibri Light" w:eastAsia="Times New Roman" w:hAnsi="Calibri Light"/>
          <w:color w:val="000000" w:themeColor="text1"/>
          <w:sz w:val="18"/>
          <w:szCs w:val="18"/>
        </w:rPr>
      </w:pPr>
    </w:p>
    <w:tbl>
      <w:tblPr>
        <w:tblW w:w="8672" w:type="dxa"/>
        <w:tblInd w:w="-167" w:type="dxa"/>
        <w:tblLook w:val="06A0" w:firstRow="1" w:lastRow="0" w:firstColumn="1" w:lastColumn="0" w:noHBand="1" w:noVBand="1"/>
      </w:tblPr>
      <w:tblGrid>
        <w:gridCol w:w="2927"/>
        <w:gridCol w:w="827"/>
        <w:gridCol w:w="815"/>
        <w:gridCol w:w="856"/>
        <w:gridCol w:w="798"/>
        <w:gridCol w:w="1108"/>
        <w:gridCol w:w="1341"/>
      </w:tblGrid>
      <w:tr w:rsidR="00B35E74" w:rsidRPr="00ED6DA5" w14:paraId="21B94C56" w14:textId="77777777" w:rsidTr="00C95771">
        <w:trPr>
          <w:trHeight w:val="312"/>
        </w:trPr>
        <w:tc>
          <w:tcPr>
            <w:tcW w:w="2927" w:type="dxa"/>
            <w:tcBorders>
              <w:right w:val="single" w:sz="4" w:space="0" w:color="auto"/>
            </w:tcBorders>
            <w:noWrap/>
            <w:hideMark/>
          </w:tcPr>
          <w:p w14:paraId="1699D9A7" w14:textId="77777777" w:rsidR="00B35E74" w:rsidRPr="00ED6DA5" w:rsidRDefault="00B35E74" w:rsidP="006A7962">
            <w:pPr>
              <w:ind w:left="35" w:right="-426"/>
              <w:rPr>
                <w:rFonts w:asciiTheme="majorHAnsi" w:eastAsia="Times New Roman" w:hAnsiTheme="majorHAnsi" w:cs="Arial"/>
                <w:b/>
                <w:i/>
                <w:iCs/>
                <w:sz w:val="18"/>
                <w:szCs w:val="18"/>
              </w:rPr>
            </w:pPr>
            <w:r w:rsidRPr="00ED6DA5">
              <w:rPr>
                <w:rFonts w:asciiTheme="majorHAnsi" w:eastAsia="Times New Roman" w:hAnsiTheme="majorHAnsi" w:cs="Arial"/>
                <w:b/>
                <w:i/>
                <w:iCs/>
                <w:sz w:val="18"/>
                <w:szCs w:val="18"/>
              </w:rPr>
              <w:t>Between groups</w:t>
            </w:r>
          </w:p>
        </w:tc>
        <w:tc>
          <w:tcPr>
            <w:tcW w:w="1642" w:type="dxa"/>
            <w:gridSpan w:val="2"/>
            <w:tcBorders>
              <w:left w:val="single" w:sz="4" w:space="0" w:color="auto"/>
            </w:tcBorders>
            <w:noWrap/>
            <w:hideMark/>
          </w:tcPr>
          <w:p w14:paraId="273F87E1" w14:textId="77777777" w:rsidR="00B35E74" w:rsidRPr="00ED6DA5" w:rsidRDefault="00B35E74" w:rsidP="006A7962">
            <w:pPr>
              <w:rPr>
                <w:rFonts w:asciiTheme="majorHAnsi" w:eastAsia="Times New Roman" w:hAnsiTheme="majorHAnsi" w:cs="Arial"/>
                <w:b/>
                <w:i/>
                <w:iCs/>
                <w:sz w:val="18"/>
                <w:szCs w:val="18"/>
              </w:rPr>
            </w:pPr>
            <w:r w:rsidRPr="00ED6DA5">
              <w:rPr>
                <w:rFonts w:asciiTheme="majorHAnsi" w:eastAsia="Times New Roman" w:hAnsiTheme="majorHAnsi" w:cs="Arial"/>
                <w:b/>
                <w:i/>
                <w:iCs/>
                <w:sz w:val="18"/>
                <w:szCs w:val="18"/>
              </w:rPr>
              <w:t xml:space="preserve"> 22q11DS (n=14)</w:t>
            </w:r>
          </w:p>
        </w:tc>
        <w:tc>
          <w:tcPr>
            <w:tcW w:w="1654" w:type="dxa"/>
            <w:gridSpan w:val="2"/>
            <w:noWrap/>
            <w:hideMark/>
          </w:tcPr>
          <w:p w14:paraId="4B4C7CA8" w14:textId="77777777" w:rsidR="00B35E74" w:rsidRPr="00ED6DA5" w:rsidRDefault="00B35E74" w:rsidP="006A7962">
            <w:pPr>
              <w:jc w:val="center"/>
              <w:rPr>
                <w:rFonts w:asciiTheme="majorHAnsi" w:eastAsia="Times New Roman" w:hAnsiTheme="majorHAnsi" w:cs="Arial"/>
                <w:b/>
                <w:i/>
                <w:iCs/>
                <w:sz w:val="18"/>
                <w:szCs w:val="18"/>
              </w:rPr>
            </w:pPr>
            <w:r w:rsidRPr="00ED6DA5">
              <w:rPr>
                <w:rFonts w:asciiTheme="majorHAnsi" w:eastAsia="Times New Roman" w:hAnsiTheme="majorHAnsi" w:cs="Arial"/>
                <w:b/>
                <w:i/>
                <w:iCs/>
                <w:sz w:val="18"/>
                <w:szCs w:val="18"/>
              </w:rPr>
              <w:t>HC (n=16)</w:t>
            </w:r>
          </w:p>
        </w:tc>
        <w:tc>
          <w:tcPr>
            <w:tcW w:w="1108" w:type="dxa"/>
            <w:noWrap/>
            <w:hideMark/>
          </w:tcPr>
          <w:p w14:paraId="50572288" w14:textId="77777777" w:rsidR="00B35E74" w:rsidRPr="00ED6DA5" w:rsidRDefault="00B35E74" w:rsidP="006A7962">
            <w:pPr>
              <w:jc w:val="right"/>
              <w:rPr>
                <w:rFonts w:asciiTheme="majorHAnsi" w:eastAsia="Times New Roman" w:hAnsiTheme="majorHAnsi" w:cs="Arial"/>
                <w:b/>
                <w:i/>
                <w:iCs/>
                <w:sz w:val="18"/>
                <w:szCs w:val="18"/>
              </w:rPr>
            </w:pPr>
          </w:p>
          <w:p w14:paraId="39D48BA8" w14:textId="77777777" w:rsidR="00B35E74" w:rsidRPr="00ED6DA5" w:rsidRDefault="00B35E74" w:rsidP="006A7962">
            <w:pPr>
              <w:jc w:val="right"/>
              <w:rPr>
                <w:rFonts w:asciiTheme="majorHAnsi" w:eastAsia="Times New Roman" w:hAnsiTheme="majorHAnsi" w:cs="Arial"/>
                <w:b/>
                <w:i/>
                <w:iCs/>
                <w:sz w:val="18"/>
                <w:szCs w:val="18"/>
              </w:rPr>
            </w:pPr>
            <w:r w:rsidRPr="00ED6DA5">
              <w:rPr>
                <w:rFonts w:asciiTheme="majorHAnsi" w:eastAsia="Times New Roman" w:hAnsiTheme="majorHAnsi" w:cs="Arial"/>
                <w:b/>
                <w:i/>
                <w:iCs/>
                <w:sz w:val="18"/>
                <w:szCs w:val="18"/>
              </w:rPr>
              <w:t> </w:t>
            </w:r>
          </w:p>
        </w:tc>
        <w:tc>
          <w:tcPr>
            <w:tcW w:w="1341" w:type="dxa"/>
            <w:noWrap/>
            <w:hideMark/>
          </w:tcPr>
          <w:p w14:paraId="29FE741D" w14:textId="77777777" w:rsidR="00B35E74" w:rsidRPr="00ED6DA5" w:rsidRDefault="00B35E74" w:rsidP="006A7962">
            <w:pPr>
              <w:jc w:val="right"/>
              <w:rPr>
                <w:rFonts w:asciiTheme="majorHAnsi" w:eastAsia="Times New Roman" w:hAnsiTheme="majorHAnsi" w:cs="Arial"/>
                <w:b/>
                <w:i/>
                <w:iCs/>
                <w:sz w:val="18"/>
                <w:szCs w:val="18"/>
              </w:rPr>
            </w:pPr>
            <w:r w:rsidRPr="00ED6DA5">
              <w:rPr>
                <w:rFonts w:asciiTheme="majorHAnsi" w:eastAsia="Times New Roman" w:hAnsiTheme="majorHAnsi" w:cs="Arial"/>
                <w:b/>
                <w:i/>
                <w:iCs/>
                <w:sz w:val="18"/>
                <w:szCs w:val="18"/>
              </w:rPr>
              <w:t> </w:t>
            </w:r>
          </w:p>
        </w:tc>
      </w:tr>
      <w:tr w:rsidR="00B35E74" w:rsidRPr="00ED6DA5" w14:paraId="6B3ACDE4" w14:textId="77777777" w:rsidTr="00C95771">
        <w:trPr>
          <w:trHeight w:val="318"/>
        </w:trPr>
        <w:tc>
          <w:tcPr>
            <w:tcW w:w="2927" w:type="dxa"/>
            <w:tcBorders>
              <w:bottom w:val="thickThinSmallGap" w:sz="24" w:space="0" w:color="auto"/>
              <w:right w:val="single" w:sz="4" w:space="0" w:color="auto"/>
            </w:tcBorders>
            <w:noWrap/>
            <w:hideMark/>
          </w:tcPr>
          <w:p w14:paraId="5CB243E0" w14:textId="77777777" w:rsidR="00B35E74" w:rsidRPr="00ED6DA5" w:rsidRDefault="00B35E74" w:rsidP="006A7962">
            <w:pPr>
              <w:ind w:right="-426"/>
              <w:rPr>
                <w:rFonts w:ascii="Calibri Light" w:eastAsia="Times New Roman" w:hAnsi="Calibri Light" w:cs="Arial"/>
                <w:b/>
                <w:i/>
                <w:iCs/>
                <w:sz w:val="18"/>
                <w:szCs w:val="18"/>
              </w:rPr>
            </w:pPr>
            <w:r w:rsidRPr="00ED6DA5">
              <w:rPr>
                <w:rFonts w:ascii="Calibri Light" w:eastAsia="Times New Roman" w:hAnsi="Calibri Light" w:cs="Arial"/>
                <w:b/>
                <w:i/>
                <w:iCs/>
                <w:sz w:val="18"/>
                <w:szCs w:val="18"/>
              </w:rPr>
              <w:t> </w:t>
            </w:r>
          </w:p>
        </w:tc>
        <w:tc>
          <w:tcPr>
            <w:tcW w:w="827" w:type="dxa"/>
            <w:tcBorders>
              <w:left w:val="single" w:sz="4" w:space="0" w:color="auto"/>
              <w:bottom w:val="thickThinSmallGap" w:sz="24" w:space="0" w:color="auto"/>
            </w:tcBorders>
            <w:noWrap/>
            <w:hideMark/>
          </w:tcPr>
          <w:p w14:paraId="3DE2D0E7" w14:textId="77777777" w:rsidR="00B35E74" w:rsidRPr="00ED6DA5" w:rsidRDefault="00B35E74" w:rsidP="006A7962">
            <w:pPr>
              <w:jc w:val="right"/>
              <w:rPr>
                <w:rFonts w:ascii="Calibri Light" w:eastAsia="Times New Roman" w:hAnsi="Calibri Light" w:cs="Arial"/>
                <w:b/>
                <w:sz w:val="18"/>
                <w:szCs w:val="18"/>
              </w:rPr>
            </w:pPr>
            <w:r w:rsidRPr="00ED6DA5">
              <w:rPr>
                <w:rFonts w:ascii="Calibri Light" w:eastAsia="Times New Roman" w:hAnsi="Calibri Light" w:cs="Arial"/>
                <w:b/>
                <w:sz w:val="18"/>
                <w:szCs w:val="18"/>
              </w:rPr>
              <w:t>Mean</w:t>
            </w:r>
          </w:p>
        </w:tc>
        <w:tc>
          <w:tcPr>
            <w:tcW w:w="815" w:type="dxa"/>
            <w:tcBorders>
              <w:bottom w:val="thickThinSmallGap" w:sz="24" w:space="0" w:color="auto"/>
            </w:tcBorders>
            <w:noWrap/>
            <w:hideMark/>
          </w:tcPr>
          <w:p w14:paraId="4174F04E" w14:textId="77777777" w:rsidR="00B35E74" w:rsidRPr="00ED6DA5" w:rsidRDefault="00B35E74" w:rsidP="006A7962">
            <w:pPr>
              <w:rPr>
                <w:rFonts w:ascii="Calibri Light" w:eastAsia="Times New Roman" w:hAnsi="Calibri Light" w:cs="Arial"/>
                <w:b/>
                <w:sz w:val="18"/>
                <w:szCs w:val="18"/>
              </w:rPr>
            </w:pPr>
            <w:r w:rsidRPr="00ED6DA5">
              <w:rPr>
                <w:rFonts w:ascii="Calibri Light" w:eastAsia="Times New Roman" w:hAnsi="Calibri Light" w:cs="Arial"/>
                <w:b/>
                <w:sz w:val="18"/>
                <w:szCs w:val="18"/>
              </w:rPr>
              <w:t>SD</w:t>
            </w:r>
          </w:p>
        </w:tc>
        <w:tc>
          <w:tcPr>
            <w:tcW w:w="856" w:type="dxa"/>
            <w:tcBorders>
              <w:bottom w:val="thickThinSmallGap" w:sz="24" w:space="0" w:color="auto"/>
            </w:tcBorders>
            <w:noWrap/>
            <w:hideMark/>
          </w:tcPr>
          <w:p w14:paraId="3E33B7A1" w14:textId="77777777" w:rsidR="00B35E74" w:rsidRPr="00ED6DA5" w:rsidRDefault="00B35E74" w:rsidP="006A7962">
            <w:pPr>
              <w:jc w:val="right"/>
              <w:rPr>
                <w:rFonts w:ascii="Calibri Light" w:eastAsia="Times New Roman" w:hAnsi="Calibri Light" w:cs="Arial"/>
                <w:b/>
                <w:sz w:val="18"/>
                <w:szCs w:val="18"/>
              </w:rPr>
            </w:pPr>
            <w:r w:rsidRPr="00ED6DA5">
              <w:rPr>
                <w:rFonts w:ascii="Calibri Light" w:eastAsia="Times New Roman" w:hAnsi="Calibri Light" w:cs="Arial"/>
                <w:b/>
                <w:sz w:val="18"/>
                <w:szCs w:val="18"/>
              </w:rPr>
              <w:t>Mean</w:t>
            </w:r>
          </w:p>
        </w:tc>
        <w:tc>
          <w:tcPr>
            <w:tcW w:w="798" w:type="dxa"/>
            <w:tcBorders>
              <w:bottom w:val="thickThinSmallGap" w:sz="24" w:space="0" w:color="auto"/>
            </w:tcBorders>
            <w:noWrap/>
            <w:hideMark/>
          </w:tcPr>
          <w:p w14:paraId="6118666A" w14:textId="77777777" w:rsidR="00B35E74" w:rsidRPr="00ED6DA5" w:rsidRDefault="00B35E74" w:rsidP="006A7962">
            <w:pPr>
              <w:rPr>
                <w:rFonts w:ascii="Calibri Light" w:eastAsia="Times New Roman" w:hAnsi="Calibri Light" w:cs="Arial"/>
                <w:b/>
                <w:sz w:val="18"/>
                <w:szCs w:val="18"/>
              </w:rPr>
            </w:pPr>
            <w:r w:rsidRPr="00ED6DA5">
              <w:rPr>
                <w:rFonts w:ascii="Calibri Light" w:eastAsia="Times New Roman" w:hAnsi="Calibri Light" w:cs="Arial"/>
                <w:b/>
                <w:sz w:val="18"/>
                <w:szCs w:val="18"/>
              </w:rPr>
              <w:t>SD</w:t>
            </w:r>
          </w:p>
        </w:tc>
        <w:tc>
          <w:tcPr>
            <w:tcW w:w="1108" w:type="dxa"/>
            <w:tcBorders>
              <w:bottom w:val="thickThinSmallGap" w:sz="24" w:space="0" w:color="auto"/>
            </w:tcBorders>
            <w:noWrap/>
            <w:hideMark/>
          </w:tcPr>
          <w:p w14:paraId="001DE2ED" w14:textId="77777777" w:rsidR="00B35E74" w:rsidRPr="00ED6DA5" w:rsidRDefault="00B35E74" w:rsidP="006A7962">
            <w:pPr>
              <w:jc w:val="right"/>
              <w:rPr>
                <w:rFonts w:ascii="Calibri Light" w:eastAsia="Times New Roman" w:hAnsi="Calibri Light" w:cs="Arial"/>
                <w:b/>
                <w:sz w:val="18"/>
                <w:szCs w:val="18"/>
              </w:rPr>
            </w:pPr>
            <w:r w:rsidRPr="00ED6DA5">
              <w:rPr>
                <w:rFonts w:ascii="Calibri Light" w:eastAsia="Times New Roman" w:hAnsi="Calibri Light" w:cs="Arial"/>
                <w:b/>
                <w:sz w:val="18"/>
                <w:szCs w:val="18"/>
              </w:rPr>
              <w:t>Test-stat.</w:t>
            </w:r>
          </w:p>
        </w:tc>
        <w:tc>
          <w:tcPr>
            <w:tcW w:w="1341" w:type="dxa"/>
            <w:tcBorders>
              <w:bottom w:val="thickThinSmallGap" w:sz="24" w:space="0" w:color="auto"/>
            </w:tcBorders>
            <w:noWrap/>
            <w:hideMark/>
          </w:tcPr>
          <w:p w14:paraId="15975F97" w14:textId="77777777" w:rsidR="00B35E74" w:rsidRPr="00ED6DA5" w:rsidRDefault="00B35E74" w:rsidP="00C35F09">
            <w:pPr>
              <w:ind w:right="-1"/>
              <w:jc w:val="right"/>
              <w:rPr>
                <w:rFonts w:ascii="Calibri Light" w:eastAsia="Times New Roman" w:hAnsi="Calibri Light" w:cs="Arial"/>
                <w:b/>
                <w:sz w:val="18"/>
                <w:szCs w:val="18"/>
                <w:vertAlign w:val="superscript"/>
              </w:rPr>
            </w:pPr>
            <w:r w:rsidRPr="00ED6DA5">
              <w:rPr>
                <w:rFonts w:ascii="Calibri Light" w:eastAsia="Times New Roman" w:hAnsi="Calibri Light" w:cs="Arial"/>
                <w:b/>
                <w:sz w:val="18"/>
                <w:szCs w:val="18"/>
              </w:rPr>
              <w:t>p-value</w:t>
            </w:r>
          </w:p>
        </w:tc>
      </w:tr>
      <w:tr w:rsidR="00B35E74" w:rsidRPr="00ED6DA5" w14:paraId="20679B8F" w14:textId="77777777" w:rsidTr="00C95771">
        <w:trPr>
          <w:trHeight w:val="331"/>
        </w:trPr>
        <w:tc>
          <w:tcPr>
            <w:tcW w:w="2927" w:type="dxa"/>
            <w:tcBorders>
              <w:top w:val="thickThinSmallGap" w:sz="24" w:space="0" w:color="auto"/>
              <w:right w:val="single" w:sz="4" w:space="0" w:color="auto"/>
            </w:tcBorders>
            <w:hideMark/>
          </w:tcPr>
          <w:p w14:paraId="49F98837" w14:textId="13E590C5" w:rsidR="00B35E74" w:rsidRPr="00ED6DA5" w:rsidRDefault="00B35E74" w:rsidP="006A7962">
            <w:pPr>
              <w:ind w:right="-426"/>
              <w:rPr>
                <w:rFonts w:asciiTheme="majorHAnsi" w:eastAsia="Times New Roman" w:hAnsiTheme="majorHAnsi" w:cs="Arial"/>
                <w:b/>
                <w:i/>
                <w:iCs/>
                <w:sz w:val="18"/>
                <w:szCs w:val="18"/>
                <w:vertAlign w:val="superscript"/>
              </w:rPr>
            </w:pPr>
            <w:r w:rsidRPr="00ED6DA5">
              <w:rPr>
                <w:rFonts w:asciiTheme="majorHAnsi" w:eastAsia="Times New Roman" w:hAnsiTheme="majorHAnsi" w:cs="Arial"/>
                <w:b/>
                <w:i/>
                <w:iCs/>
                <w:sz w:val="18"/>
                <w:szCs w:val="18"/>
              </w:rPr>
              <w:t>BP</w:t>
            </w:r>
            <w:r w:rsidRPr="00ED6DA5">
              <w:rPr>
                <w:rFonts w:asciiTheme="majorHAnsi" w:eastAsia="Times New Roman" w:hAnsiTheme="majorHAnsi" w:cs="Arial"/>
                <w:b/>
                <w:i/>
                <w:iCs/>
                <w:sz w:val="18"/>
                <w:szCs w:val="18"/>
                <w:vertAlign w:val="subscript"/>
              </w:rPr>
              <w:t>ND</w:t>
            </w:r>
            <w:r w:rsidRPr="00ED6DA5">
              <w:rPr>
                <w:rFonts w:asciiTheme="majorHAnsi" w:eastAsia="Times New Roman" w:hAnsiTheme="majorHAnsi" w:cs="Arial"/>
                <w:b/>
                <w:i/>
                <w:iCs/>
                <w:sz w:val="18"/>
                <w:szCs w:val="18"/>
              </w:rPr>
              <w:t xml:space="preserve"> </w:t>
            </w:r>
            <w:r w:rsidRPr="00ED6DA5">
              <w:rPr>
                <w:rFonts w:asciiTheme="majorHAnsi" w:eastAsia="Times New Roman" w:hAnsiTheme="majorHAnsi" w:cs="Arial"/>
                <w:b/>
                <w:i/>
                <w:iCs/>
                <w:sz w:val="18"/>
                <w:szCs w:val="18"/>
                <w:vertAlign w:val="superscript"/>
              </w:rPr>
              <w:t>18</w:t>
            </w:r>
            <w:r w:rsidRPr="00ED6DA5">
              <w:rPr>
                <w:rFonts w:asciiTheme="majorHAnsi" w:eastAsia="Times New Roman" w:hAnsiTheme="majorHAnsi" w:cs="Arial"/>
                <w:b/>
                <w:i/>
                <w:iCs/>
                <w:sz w:val="18"/>
                <w:szCs w:val="18"/>
              </w:rPr>
              <w:t>F-fallypride</w:t>
            </w:r>
          </w:p>
        </w:tc>
        <w:tc>
          <w:tcPr>
            <w:tcW w:w="827" w:type="dxa"/>
            <w:tcBorders>
              <w:top w:val="thickThinSmallGap" w:sz="24" w:space="0" w:color="auto"/>
              <w:left w:val="single" w:sz="4" w:space="0" w:color="auto"/>
            </w:tcBorders>
            <w:noWrap/>
            <w:hideMark/>
          </w:tcPr>
          <w:p w14:paraId="04EB70B0" w14:textId="77777777" w:rsidR="00B35E74" w:rsidRPr="00ED6DA5" w:rsidRDefault="00B35E74" w:rsidP="006A7962">
            <w:pPr>
              <w:jc w:val="right"/>
              <w:rPr>
                <w:rFonts w:asciiTheme="majorHAnsi" w:eastAsia="Times New Roman" w:hAnsiTheme="majorHAnsi" w:cs="Arial"/>
                <w:b/>
                <w:sz w:val="18"/>
                <w:szCs w:val="18"/>
              </w:rPr>
            </w:pPr>
            <w:r w:rsidRPr="00ED6DA5">
              <w:rPr>
                <w:rFonts w:asciiTheme="majorHAnsi" w:eastAsia="Times New Roman" w:hAnsiTheme="majorHAnsi" w:cs="Arial"/>
                <w:b/>
                <w:sz w:val="18"/>
                <w:szCs w:val="18"/>
              </w:rPr>
              <w:t> </w:t>
            </w:r>
          </w:p>
        </w:tc>
        <w:tc>
          <w:tcPr>
            <w:tcW w:w="815" w:type="dxa"/>
            <w:tcBorders>
              <w:top w:val="thickThinSmallGap" w:sz="24" w:space="0" w:color="auto"/>
            </w:tcBorders>
            <w:noWrap/>
            <w:hideMark/>
          </w:tcPr>
          <w:p w14:paraId="574EC715" w14:textId="77777777" w:rsidR="00B35E74" w:rsidRPr="00ED6DA5" w:rsidRDefault="00B35E74" w:rsidP="006A7962">
            <w:pPr>
              <w:jc w:val="right"/>
              <w:rPr>
                <w:rFonts w:asciiTheme="majorHAnsi" w:eastAsia="Times New Roman" w:hAnsiTheme="majorHAnsi" w:cs="Arial"/>
                <w:b/>
                <w:sz w:val="18"/>
                <w:szCs w:val="18"/>
              </w:rPr>
            </w:pPr>
          </w:p>
        </w:tc>
        <w:tc>
          <w:tcPr>
            <w:tcW w:w="856" w:type="dxa"/>
            <w:tcBorders>
              <w:top w:val="thickThinSmallGap" w:sz="24" w:space="0" w:color="auto"/>
            </w:tcBorders>
            <w:noWrap/>
            <w:hideMark/>
          </w:tcPr>
          <w:p w14:paraId="043864D9" w14:textId="77777777" w:rsidR="00B35E74" w:rsidRPr="00ED6DA5" w:rsidRDefault="00B35E74" w:rsidP="006A7962">
            <w:pPr>
              <w:rPr>
                <w:rFonts w:asciiTheme="majorHAnsi" w:eastAsia="Times New Roman" w:hAnsiTheme="majorHAnsi"/>
                <w:b/>
                <w:sz w:val="18"/>
                <w:szCs w:val="18"/>
              </w:rPr>
            </w:pPr>
          </w:p>
        </w:tc>
        <w:tc>
          <w:tcPr>
            <w:tcW w:w="798" w:type="dxa"/>
            <w:tcBorders>
              <w:top w:val="thickThinSmallGap" w:sz="24" w:space="0" w:color="auto"/>
            </w:tcBorders>
            <w:noWrap/>
            <w:hideMark/>
          </w:tcPr>
          <w:p w14:paraId="028181BF" w14:textId="77777777" w:rsidR="00B35E74" w:rsidRPr="00ED6DA5" w:rsidRDefault="00B35E74" w:rsidP="006A7962">
            <w:pPr>
              <w:jc w:val="right"/>
              <w:rPr>
                <w:rFonts w:asciiTheme="majorHAnsi" w:eastAsia="Times New Roman" w:hAnsiTheme="majorHAnsi"/>
                <w:b/>
                <w:sz w:val="18"/>
                <w:szCs w:val="18"/>
              </w:rPr>
            </w:pPr>
          </w:p>
        </w:tc>
        <w:tc>
          <w:tcPr>
            <w:tcW w:w="1108" w:type="dxa"/>
            <w:tcBorders>
              <w:top w:val="thickThinSmallGap" w:sz="24" w:space="0" w:color="auto"/>
            </w:tcBorders>
            <w:noWrap/>
            <w:hideMark/>
          </w:tcPr>
          <w:p w14:paraId="3D5B369B" w14:textId="77777777" w:rsidR="00B35E74" w:rsidRPr="00ED6DA5" w:rsidRDefault="00B35E74" w:rsidP="006A7962">
            <w:pPr>
              <w:rPr>
                <w:rFonts w:asciiTheme="majorHAnsi" w:eastAsia="Times New Roman" w:hAnsiTheme="majorHAnsi"/>
                <w:b/>
                <w:sz w:val="18"/>
                <w:szCs w:val="18"/>
              </w:rPr>
            </w:pPr>
          </w:p>
        </w:tc>
        <w:tc>
          <w:tcPr>
            <w:tcW w:w="1341" w:type="dxa"/>
            <w:tcBorders>
              <w:top w:val="thickThinSmallGap" w:sz="24" w:space="0" w:color="auto"/>
            </w:tcBorders>
            <w:noWrap/>
            <w:hideMark/>
          </w:tcPr>
          <w:p w14:paraId="6F4AB751" w14:textId="77777777" w:rsidR="00B35E74" w:rsidRPr="00ED6DA5" w:rsidRDefault="00B35E74" w:rsidP="00C35F09">
            <w:pPr>
              <w:jc w:val="right"/>
              <w:rPr>
                <w:rFonts w:asciiTheme="majorHAnsi" w:eastAsia="Times New Roman" w:hAnsiTheme="majorHAnsi"/>
                <w:b/>
                <w:sz w:val="18"/>
                <w:szCs w:val="18"/>
              </w:rPr>
            </w:pPr>
          </w:p>
        </w:tc>
      </w:tr>
      <w:tr w:rsidR="00B35E74" w:rsidRPr="00ED6DA5" w14:paraId="7F8B55B3" w14:textId="77777777" w:rsidTr="00C95771">
        <w:trPr>
          <w:trHeight w:val="273"/>
        </w:trPr>
        <w:tc>
          <w:tcPr>
            <w:tcW w:w="2927" w:type="dxa"/>
            <w:tcBorders>
              <w:right w:val="single" w:sz="4" w:space="0" w:color="auto"/>
            </w:tcBorders>
          </w:tcPr>
          <w:p w14:paraId="41C77D9D" w14:textId="77777777" w:rsidR="00B35E74" w:rsidRPr="00ED6DA5" w:rsidRDefault="00B35E74" w:rsidP="006A7962">
            <w:pPr>
              <w:ind w:right="-426"/>
              <w:rPr>
                <w:rFonts w:ascii="Calibri Light" w:eastAsia="Times New Roman" w:hAnsi="Calibri Light" w:cs="Arial"/>
                <w:b/>
                <w:i/>
                <w:iCs/>
                <w:sz w:val="18"/>
                <w:szCs w:val="18"/>
              </w:rPr>
            </w:pPr>
            <w:proofErr w:type="spellStart"/>
            <w:r w:rsidRPr="00ED6DA5">
              <w:rPr>
                <w:rFonts w:ascii="Calibri Light" w:eastAsia="Times New Roman" w:hAnsi="Calibri Light" w:cs="Arial"/>
                <w:b/>
                <w:i/>
                <w:iCs/>
                <w:sz w:val="18"/>
                <w:szCs w:val="18"/>
              </w:rPr>
              <w:t>Subregions</w:t>
            </w:r>
            <w:proofErr w:type="spellEnd"/>
          </w:p>
        </w:tc>
        <w:tc>
          <w:tcPr>
            <w:tcW w:w="827" w:type="dxa"/>
            <w:tcBorders>
              <w:left w:val="single" w:sz="4" w:space="0" w:color="auto"/>
            </w:tcBorders>
            <w:noWrap/>
          </w:tcPr>
          <w:p w14:paraId="1D2AC083" w14:textId="77777777" w:rsidR="00B35E74" w:rsidRPr="00ED6DA5" w:rsidRDefault="00B35E74" w:rsidP="006A7962">
            <w:pPr>
              <w:jc w:val="right"/>
              <w:rPr>
                <w:rFonts w:ascii="Calibri Light" w:eastAsia="Times New Roman" w:hAnsi="Calibri Light" w:cs="Arial"/>
                <w:b/>
                <w:sz w:val="18"/>
                <w:szCs w:val="18"/>
              </w:rPr>
            </w:pPr>
          </w:p>
        </w:tc>
        <w:tc>
          <w:tcPr>
            <w:tcW w:w="815" w:type="dxa"/>
            <w:noWrap/>
          </w:tcPr>
          <w:p w14:paraId="0C281837" w14:textId="77777777" w:rsidR="00B35E74" w:rsidRPr="00ED6DA5" w:rsidRDefault="00B35E74" w:rsidP="006A7962">
            <w:pPr>
              <w:jc w:val="right"/>
              <w:rPr>
                <w:rFonts w:ascii="Calibri Light" w:eastAsia="Times New Roman" w:hAnsi="Calibri Light" w:cs="Arial"/>
                <w:b/>
                <w:sz w:val="18"/>
                <w:szCs w:val="18"/>
              </w:rPr>
            </w:pPr>
          </w:p>
        </w:tc>
        <w:tc>
          <w:tcPr>
            <w:tcW w:w="856" w:type="dxa"/>
            <w:noWrap/>
          </w:tcPr>
          <w:p w14:paraId="7935B96A" w14:textId="77777777" w:rsidR="00B35E74" w:rsidRPr="00ED6DA5" w:rsidRDefault="00B35E74" w:rsidP="006A7962">
            <w:pPr>
              <w:rPr>
                <w:rFonts w:ascii="Calibri Light" w:eastAsia="Times New Roman" w:hAnsi="Calibri Light"/>
                <w:b/>
                <w:sz w:val="18"/>
                <w:szCs w:val="18"/>
              </w:rPr>
            </w:pPr>
          </w:p>
        </w:tc>
        <w:tc>
          <w:tcPr>
            <w:tcW w:w="798" w:type="dxa"/>
            <w:noWrap/>
          </w:tcPr>
          <w:p w14:paraId="1D1703A2" w14:textId="77777777" w:rsidR="00B35E74" w:rsidRPr="00ED6DA5" w:rsidRDefault="00B35E74" w:rsidP="006A7962">
            <w:pPr>
              <w:jc w:val="right"/>
              <w:rPr>
                <w:rFonts w:ascii="Calibri Light" w:eastAsia="Times New Roman" w:hAnsi="Calibri Light"/>
                <w:b/>
                <w:sz w:val="18"/>
                <w:szCs w:val="18"/>
              </w:rPr>
            </w:pPr>
          </w:p>
        </w:tc>
        <w:tc>
          <w:tcPr>
            <w:tcW w:w="1108" w:type="dxa"/>
            <w:noWrap/>
          </w:tcPr>
          <w:p w14:paraId="16F31587" w14:textId="77777777" w:rsidR="00B35E74" w:rsidRPr="00ED6DA5" w:rsidRDefault="00B35E74" w:rsidP="006A7962">
            <w:pPr>
              <w:rPr>
                <w:rFonts w:ascii="Calibri Light" w:eastAsia="Times New Roman" w:hAnsi="Calibri Light"/>
                <w:b/>
                <w:sz w:val="18"/>
                <w:szCs w:val="18"/>
              </w:rPr>
            </w:pPr>
          </w:p>
        </w:tc>
        <w:tc>
          <w:tcPr>
            <w:tcW w:w="1341" w:type="dxa"/>
            <w:noWrap/>
          </w:tcPr>
          <w:p w14:paraId="068D8DF3" w14:textId="77777777" w:rsidR="00B35E74" w:rsidRPr="00ED6DA5" w:rsidRDefault="00B35E74" w:rsidP="00C35F09">
            <w:pPr>
              <w:jc w:val="right"/>
              <w:rPr>
                <w:rFonts w:ascii="Calibri Light" w:eastAsia="Times New Roman" w:hAnsi="Calibri Light"/>
                <w:b/>
                <w:sz w:val="18"/>
                <w:szCs w:val="18"/>
              </w:rPr>
            </w:pPr>
          </w:p>
        </w:tc>
      </w:tr>
      <w:tr w:rsidR="00B35E74" w:rsidRPr="00ED6DA5" w14:paraId="68E39AC8" w14:textId="77777777" w:rsidTr="00C95771">
        <w:trPr>
          <w:trHeight w:val="307"/>
        </w:trPr>
        <w:tc>
          <w:tcPr>
            <w:tcW w:w="2927" w:type="dxa"/>
            <w:tcBorders>
              <w:right w:val="single" w:sz="4" w:space="0" w:color="auto"/>
            </w:tcBorders>
          </w:tcPr>
          <w:p w14:paraId="1F63BD99" w14:textId="77777777" w:rsidR="00B35E74" w:rsidRPr="00ED6DA5" w:rsidRDefault="00B35E74" w:rsidP="006A7962">
            <w:pPr>
              <w:tabs>
                <w:tab w:val="left" w:pos="584"/>
                <w:tab w:val="right" w:pos="3215"/>
              </w:tabs>
              <w:ind w:right="-426"/>
              <w:rPr>
                <w:rFonts w:ascii="Calibri Light" w:eastAsia="Times New Roman" w:hAnsi="Calibri Light" w:cs="Arial"/>
                <w:b/>
                <w:i/>
                <w:iCs/>
                <w:sz w:val="18"/>
                <w:szCs w:val="18"/>
              </w:rPr>
            </w:pPr>
            <w:r w:rsidRPr="00ED6DA5">
              <w:rPr>
                <w:rFonts w:ascii="Calibri Light" w:eastAsia="Times New Roman" w:hAnsi="Calibri Light" w:cs="Arial"/>
                <w:b/>
                <w:i/>
                <w:iCs/>
                <w:sz w:val="18"/>
                <w:szCs w:val="18"/>
              </w:rPr>
              <w:t xml:space="preserve">PFC  </w:t>
            </w:r>
          </w:p>
        </w:tc>
        <w:tc>
          <w:tcPr>
            <w:tcW w:w="827" w:type="dxa"/>
            <w:tcBorders>
              <w:left w:val="single" w:sz="4" w:space="0" w:color="auto"/>
            </w:tcBorders>
            <w:noWrap/>
          </w:tcPr>
          <w:p w14:paraId="506D5CF0" w14:textId="77777777" w:rsidR="00B35E74" w:rsidRPr="00ED6DA5" w:rsidRDefault="00B35E74" w:rsidP="006A7962">
            <w:pPr>
              <w:jc w:val="right"/>
              <w:rPr>
                <w:rFonts w:ascii="Calibri Light" w:eastAsia="Times New Roman" w:hAnsi="Calibri Light" w:cs="Arial"/>
                <w:b/>
                <w:sz w:val="18"/>
                <w:szCs w:val="18"/>
              </w:rPr>
            </w:pPr>
          </w:p>
        </w:tc>
        <w:tc>
          <w:tcPr>
            <w:tcW w:w="815" w:type="dxa"/>
            <w:noWrap/>
          </w:tcPr>
          <w:p w14:paraId="0E935289" w14:textId="77777777" w:rsidR="00B35E74" w:rsidRPr="00ED6DA5" w:rsidRDefault="00B35E74" w:rsidP="006A7962">
            <w:pPr>
              <w:rPr>
                <w:rFonts w:ascii="Calibri Light" w:eastAsia="Times New Roman" w:hAnsi="Calibri Light" w:cs="Arial"/>
                <w:b/>
                <w:sz w:val="18"/>
                <w:szCs w:val="18"/>
              </w:rPr>
            </w:pPr>
          </w:p>
        </w:tc>
        <w:tc>
          <w:tcPr>
            <w:tcW w:w="856" w:type="dxa"/>
            <w:noWrap/>
          </w:tcPr>
          <w:p w14:paraId="44D20219" w14:textId="77777777" w:rsidR="00B35E74" w:rsidRPr="00ED6DA5" w:rsidRDefault="00B35E74" w:rsidP="006A7962">
            <w:pPr>
              <w:jc w:val="right"/>
              <w:rPr>
                <w:rFonts w:ascii="Calibri Light" w:eastAsia="Times New Roman" w:hAnsi="Calibri Light" w:cs="Arial"/>
                <w:b/>
                <w:sz w:val="18"/>
                <w:szCs w:val="18"/>
              </w:rPr>
            </w:pPr>
          </w:p>
        </w:tc>
        <w:tc>
          <w:tcPr>
            <w:tcW w:w="798" w:type="dxa"/>
            <w:noWrap/>
          </w:tcPr>
          <w:p w14:paraId="47A758FD" w14:textId="77777777" w:rsidR="00B35E74" w:rsidRPr="00ED6DA5" w:rsidRDefault="00B35E74" w:rsidP="006A7962">
            <w:pPr>
              <w:rPr>
                <w:rFonts w:ascii="Calibri Light" w:eastAsia="Times New Roman" w:hAnsi="Calibri Light" w:cs="Arial"/>
                <w:b/>
                <w:sz w:val="18"/>
                <w:szCs w:val="18"/>
              </w:rPr>
            </w:pPr>
          </w:p>
        </w:tc>
        <w:tc>
          <w:tcPr>
            <w:tcW w:w="1108" w:type="dxa"/>
            <w:noWrap/>
          </w:tcPr>
          <w:p w14:paraId="7A0DCEED" w14:textId="77777777" w:rsidR="00B35E74" w:rsidRPr="00ED6DA5" w:rsidRDefault="00B35E74" w:rsidP="006A7962">
            <w:pPr>
              <w:jc w:val="right"/>
              <w:rPr>
                <w:rFonts w:ascii="Calibri Light" w:eastAsia="Times New Roman" w:hAnsi="Calibri Light" w:cs="Arial"/>
                <w:b/>
                <w:sz w:val="18"/>
                <w:szCs w:val="18"/>
              </w:rPr>
            </w:pPr>
          </w:p>
        </w:tc>
        <w:tc>
          <w:tcPr>
            <w:tcW w:w="1341" w:type="dxa"/>
            <w:noWrap/>
          </w:tcPr>
          <w:p w14:paraId="7EC86550" w14:textId="77777777" w:rsidR="00B35E74" w:rsidRPr="00ED6DA5" w:rsidRDefault="00B35E74" w:rsidP="00C35F09">
            <w:pPr>
              <w:jc w:val="right"/>
              <w:rPr>
                <w:rFonts w:ascii="Calibri Light" w:eastAsia="Times New Roman" w:hAnsi="Calibri Light" w:cs="Arial"/>
                <w:b/>
                <w:sz w:val="18"/>
                <w:szCs w:val="18"/>
              </w:rPr>
            </w:pPr>
          </w:p>
        </w:tc>
      </w:tr>
      <w:tr w:rsidR="00B35E74" w:rsidRPr="00ED6DA5" w14:paraId="5DB1F661" w14:textId="77777777" w:rsidTr="00C95771">
        <w:trPr>
          <w:trHeight w:val="273"/>
        </w:trPr>
        <w:tc>
          <w:tcPr>
            <w:tcW w:w="2927" w:type="dxa"/>
            <w:tcBorders>
              <w:right w:val="single" w:sz="4" w:space="0" w:color="auto"/>
            </w:tcBorders>
            <w:hideMark/>
          </w:tcPr>
          <w:p w14:paraId="7EB5DA12"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eastAsia="Times New Roman" w:hAnsi="Calibri Light" w:cs="Arial"/>
                <w:i/>
                <w:iCs/>
                <w:sz w:val="18"/>
                <w:szCs w:val="18"/>
              </w:rPr>
              <w:t xml:space="preserve">PFC Middle frontal gyrus </w:t>
            </w:r>
          </w:p>
        </w:tc>
        <w:tc>
          <w:tcPr>
            <w:tcW w:w="827" w:type="dxa"/>
            <w:tcBorders>
              <w:left w:val="single" w:sz="4" w:space="0" w:color="auto"/>
            </w:tcBorders>
            <w:noWrap/>
            <w:hideMark/>
          </w:tcPr>
          <w:p w14:paraId="217BE891"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0.30</w:t>
            </w:r>
          </w:p>
        </w:tc>
        <w:tc>
          <w:tcPr>
            <w:tcW w:w="815" w:type="dxa"/>
            <w:noWrap/>
            <w:hideMark/>
          </w:tcPr>
          <w:p w14:paraId="2995B840"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0.09</w:t>
            </w:r>
          </w:p>
        </w:tc>
        <w:tc>
          <w:tcPr>
            <w:tcW w:w="856" w:type="dxa"/>
            <w:noWrap/>
            <w:hideMark/>
          </w:tcPr>
          <w:p w14:paraId="6FCA4437"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0.37</w:t>
            </w:r>
          </w:p>
        </w:tc>
        <w:tc>
          <w:tcPr>
            <w:tcW w:w="798" w:type="dxa"/>
            <w:noWrap/>
            <w:hideMark/>
          </w:tcPr>
          <w:p w14:paraId="3DA7F16F"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0.11</w:t>
            </w:r>
          </w:p>
        </w:tc>
        <w:tc>
          <w:tcPr>
            <w:tcW w:w="1108" w:type="dxa"/>
            <w:noWrap/>
            <w:hideMark/>
          </w:tcPr>
          <w:p w14:paraId="6EE6081D" w14:textId="3E5E9632" w:rsidR="00B35E74" w:rsidRPr="00ED6DA5" w:rsidRDefault="00C35F09" w:rsidP="006A7962">
            <w:pPr>
              <w:jc w:val="right"/>
              <w:rPr>
                <w:rFonts w:ascii="Calibri Light" w:eastAsia="Times New Roman" w:hAnsi="Calibri Light" w:cs="Arial"/>
                <w:sz w:val="18"/>
                <w:szCs w:val="18"/>
                <w:vertAlign w:val="superscript"/>
              </w:rPr>
            </w:pPr>
            <w:r>
              <w:rPr>
                <w:rFonts w:ascii="Calibri Light" w:eastAsia="Times New Roman" w:hAnsi="Calibri Light" w:cs="Arial"/>
                <w:sz w:val="18"/>
                <w:szCs w:val="18"/>
              </w:rPr>
              <w:t>4.53</w:t>
            </w:r>
            <w:r w:rsidR="00B35E74" w:rsidRPr="00ED6DA5">
              <w:rPr>
                <w:rFonts w:ascii="Calibri Light" w:eastAsia="Times New Roman" w:hAnsi="Calibri Light" w:cs="Arial"/>
                <w:sz w:val="18"/>
                <w:szCs w:val="18"/>
                <w:vertAlign w:val="superscript"/>
              </w:rPr>
              <w:t>c</w:t>
            </w:r>
          </w:p>
        </w:tc>
        <w:tc>
          <w:tcPr>
            <w:tcW w:w="1341" w:type="dxa"/>
            <w:noWrap/>
            <w:hideMark/>
          </w:tcPr>
          <w:p w14:paraId="09D223BE" w14:textId="2EEA05DF" w:rsidR="00B35E74" w:rsidRPr="00ED6DA5" w:rsidRDefault="00C35F09" w:rsidP="00C35F09">
            <w:pPr>
              <w:jc w:val="right"/>
              <w:rPr>
                <w:rFonts w:ascii="Calibri Light" w:eastAsia="Times New Roman" w:hAnsi="Calibri Light" w:cs="Arial"/>
                <w:b/>
                <w:sz w:val="20"/>
                <w:szCs w:val="20"/>
                <w:vertAlign w:val="superscript"/>
              </w:rPr>
            </w:pPr>
            <w:r>
              <w:rPr>
                <w:rFonts w:ascii="Calibri Light" w:eastAsia="Times New Roman" w:hAnsi="Calibri Light" w:cs="Arial"/>
                <w:sz w:val="18"/>
                <w:szCs w:val="18"/>
              </w:rPr>
              <w:t>0.042</w:t>
            </w:r>
          </w:p>
        </w:tc>
      </w:tr>
      <w:tr w:rsidR="00B35E74" w:rsidRPr="00ED6DA5" w14:paraId="05D10CFB" w14:textId="77777777" w:rsidTr="00C95771">
        <w:trPr>
          <w:trHeight w:val="273"/>
        </w:trPr>
        <w:tc>
          <w:tcPr>
            <w:tcW w:w="2927" w:type="dxa"/>
            <w:tcBorders>
              <w:right w:val="single" w:sz="4" w:space="0" w:color="auto"/>
            </w:tcBorders>
            <w:hideMark/>
          </w:tcPr>
          <w:p w14:paraId="0F45D696" w14:textId="77777777" w:rsidR="00B35E74" w:rsidRPr="00ED6DA5" w:rsidRDefault="00B35E74" w:rsidP="006A7962">
            <w:pPr>
              <w:rPr>
                <w:rFonts w:ascii="Calibri Light" w:hAnsi="Calibri Light"/>
                <w:i/>
                <w:sz w:val="18"/>
                <w:szCs w:val="18"/>
              </w:rPr>
            </w:pPr>
            <w:r w:rsidRPr="00ED6DA5">
              <w:rPr>
                <w:rFonts w:ascii="Calibri Light" w:hAnsi="Calibri Light"/>
                <w:i/>
                <w:sz w:val="18"/>
                <w:szCs w:val="18"/>
              </w:rPr>
              <w:t>PFC inferior frontal gyrus</w:t>
            </w:r>
          </w:p>
        </w:tc>
        <w:tc>
          <w:tcPr>
            <w:tcW w:w="827" w:type="dxa"/>
            <w:tcBorders>
              <w:left w:val="single" w:sz="4" w:space="0" w:color="auto"/>
            </w:tcBorders>
            <w:noWrap/>
            <w:hideMark/>
          </w:tcPr>
          <w:p w14:paraId="0545E8D3"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0.31</w:t>
            </w:r>
          </w:p>
        </w:tc>
        <w:tc>
          <w:tcPr>
            <w:tcW w:w="815" w:type="dxa"/>
            <w:noWrap/>
            <w:hideMark/>
          </w:tcPr>
          <w:p w14:paraId="6601A032"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0.10</w:t>
            </w:r>
          </w:p>
        </w:tc>
        <w:tc>
          <w:tcPr>
            <w:tcW w:w="856" w:type="dxa"/>
            <w:noWrap/>
            <w:hideMark/>
          </w:tcPr>
          <w:p w14:paraId="676B8B2F"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0.39</w:t>
            </w:r>
          </w:p>
        </w:tc>
        <w:tc>
          <w:tcPr>
            <w:tcW w:w="798" w:type="dxa"/>
            <w:noWrap/>
            <w:hideMark/>
          </w:tcPr>
          <w:p w14:paraId="23C76EEE"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0.10</w:t>
            </w:r>
          </w:p>
        </w:tc>
        <w:tc>
          <w:tcPr>
            <w:tcW w:w="1108" w:type="dxa"/>
            <w:noWrap/>
            <w:hideMark/>
          </w:tcPr>
          <w:p w14:paraId="34F766AB" w14:textId="62F004FD" w:rsidR="00B35E74" w:rsidRPr="00ED6DA5" w:rsidRDefault="00C35F09" w:rsidP="006A7962">
            <w:pPr>
              <w:jc w:val="right"/>
              <w:rPr>
                <w:rFonts w:ascii="Calibri Light" w:eastAsia="Times New Roman" w:hAnsi="Calibri Light" w:cs="Arial"/>
                <w:sz w:val="18"/>
                <w:szCs w:val="18"/>
                <w:vertAlign w:val="superscript"/>
              </w:rPr>
            </w:pPr>
            <w:r>
              <w:rPr>
                <w:rFonts w:ascii="Calibri Light" w:eastAsia="Times New Roman" w:hAnsi="Calibri Light" w:cs="Arial"/>
                <w:sz w:val="18"/>
                <w:szCs w:val="18"/>
              </w:rPr>
              <w:t>5.02</w:t>
            </w:r>
            <w:r w:rsidR="00B35E74" w:rsidRPr="00ED6DA5">
              <w:rPr>
                <w:rFonts w:ascii="Calibri Light" w:eastAsia="Times New Roman" w:hAnsi="Calibri Light" w:cs="Arial"/>
                <w:sz w:val="18"/>
                <w:szCs w:val="18"/>
                <w:vertAlign w:val="superscript"/>
              </w:rPr>
              <w:t>c</w:t>
            </w:r>
          </w:p>
        </w:tc>
        <w:tc>
          <w:tcPr>
            <w:tcW w:w="1341" w:type="dxa"/>
            <w:noWrap/>
            <w:hideMark/>
          </w:tcPr>
          <w:p w14:paraId="122A8F88" w14:textId="683A95A3" w:rsidR="00B35E74" w:rsidRPr="00ED6DA5" w:rsidRDefault="00F25C03" w:rsidP="00F25C03">
            <w:pPr>
              <w:jc w:val="right"/>
              <w:rPr>
                <w:rFonts w:ascii="Calibri Light" w:eastAsia="Times New Roman" w:hAnsi="Calibri Light" w:cs="Arial"/>
                <w:b/>
                <w:sz w:val="20"/>
                <w:szCs w:val="20"/>
                <w:vertAlign w:val="superscript"/>
              </w:rPr>
            </w:pPr>
            <w:r>
              <w:rPr>
                <w:rFonts w:ascii="Calibri Light" w:eastAsia="Times New Roman" w:hAnsi="Calibri Light" w:cs="Arial"/>
                <w:sz w:val="18"/>
                <w:szCs w:val="18"/>
              </w:rPr>
              <w:t>0.033</w:t>
            </w:r>
          </w:p>
        </w:tc>
      </w:tr>
      <w:tr w:rsidR="00B35E74" w:rsidRPr="00ED6DA5" w14:paraId="096673D0" w14:textId="77777777" w:rsidTr="00C95771">
        <w:trPr>
          <w:trHeight w:val="81"/>
        </w:trPr>
        <w:tc>
          <w:tcPr>
            <w:tcW w:w="2927" w:type="dxa"/>
            <w:tcBorders>
              <w:right w:val="single" w:sz="4" w:space="0" w:color="auto"/>
            </w:tcBorders>
            <w:hideMark/>
          </w:tcPr>
          <w:p w14:paraId="3FEBB1FB" w14:textId="77777777" w:rsidR="00B35E74" w:rsidRPr="00ED6DA5" w:rsidRDefault="00B35E74" w:rsidP="006A7962">
            <w:pPr>
              <w:rPr>
                <w:rFonts w:ascii="Calibri Light" w:hAnsi="Calibri Light"/>
                <w:i/>
                <w:sz w:val="18"/>
                <w:szCs w:val="18"/>
              </w:rPr>
            </w:pPr>
            <w:r w:rsidRPr="00ED6DA5">
              <w:rPr>
                <w:rFonts w:ascii="Calibri Light" w:hAnsi="Calibri Light"/>
                <w:i/>
                <w:sz w:val="18"/>
                <w:szCs w:val="18"/>
              </w:rPr>
              <w:t>PFC superior frontal gyrus</w:t>
            </w:r>
          </w:p>
        </w:tc>
        <w:tc>
          <w:tcPr>
            <w:tcW w:w="827" w:type="dxa"/>
            <w:tcBorders>
              <w:left w:val="single" w:sz="4" w:space="0" w:color="auto"/>
            </w:tcBorders>
            <w:noWrap/>
            <w:hideMark/>
          </w:tcPr>
          <w:p w14:paraId="5017B7E2"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0.25</w:t>
            </w:r>
          </w:p>
        </w:tc>
        <w:tc>
          <w:tcPr>
            <w:tcW w:w="815" w:type="dxa"/>
            <w:noWrap/>
            <w:hideMark/>
          </w:tcPr>
          <w:p w14:paraId="38F640CE"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0.09</w:t>
            </w:r>
          </w:p>
        </w:tc>
        <w:tc>
          <w:tcPr>
            <w:tcW w:w="856" w:type="dxa"/>
            <w:noWrap/>
            <w:hideMark/>
          </w:tcPr>
          <w:p w14:paraId="5A20E14C"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0.34</w:t>
            </w:r>
          </w:p>
        </w:tc>
        <w:tc>
          <w:tcPr>
            <w:tcW w:w="798" w:type="dxa"/>
            <w:noWrap/>
            <w:hideMark/>
          </w:tcPr>
          <w:p w14:paraId="3A6FFEDF"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0.10</w:t>
            </w:r>
          </w:p>
        </w:tc>
        <w:tc>
          <w:tcPr>
            <w:tcW w:w="1108" w:type="dxa"/>
            <w:noWrap/>
            <w:hideMark/>
          </w:tcPr>
          <w:p w14:paraId="759177D1" w14:textId="2A8B7B3D" w:rsidR="00B35E74" w:rsidRPr="00ED6DA5" w:rsidRDefault="00F25C03" w:rsidP="006A7962">
            <w:pPr>
              <w:jc w:val="right"/>
              <w:rPr>
                <w:rFonts w:ascii="Calibri Light" w:eastAsia="Times New Roman" w:hAnsi="Calibri Light" w:cs="Arial"/>
                <w:sz w:val="18"/>
                <w:szCs w:val="18"/>
                <w:vertAlign w:val="superscript"/>
              </w:rPr>
            </w:pPr>
            <w:r>
              <w:rPr>
                <w:rFonts w:ascii="Calibri Light" w:eastAsia="Times New Roman" w:hAnsi="Calibri Light" w:cs="Arial"/>
                <w:sz w:val="18"/>
                <w:szCs w:val="18"/>
              </w:rPr>
              <w:t>6.48</w:t>
            </w:r>
            <w:r w:rsidR="00B35E74" w:rsidRPr="00ED6DA5">
              <w:rPr>
                <w:rFonts w:ascii="Calibri Light" w:eastAsia="Times New Roman" w:hAnsi="Calibri Light" w:cs="Arial"/>
                <w:sz w:val="18"/>
                <w:szCs w:val="18"/>
                <w:vertAlign w:val="superscript"/>
              </w:rPr>
              <w:t>c</w:t>
            </w:r>
          </w:p>
        </w:tc>
        <w:tc>
          <w:tcPr>
            <w:tcW w:w="1341" w:type="dxa"/>
            <w:noWrap/>
            <w:hideMark/>
          </w:tcPr>
          <w:p w14:paraId="68AE7FB7" w14:textId="57F779E0" w:rsidR="00B35E74" w:rsidRPr="00ED6DA5" w:rsidRDefault="00F25C03" w:rsidP="00C35F09">
            <w:pPr>
              <w:jc w:val="right"/>
              <w:rPr>
                <w:rFonts w:ascii="Calibri Light" w:eastAsia="Times New Roman" w:hAnsi="Calibri Light" w:cs="Arial"/>
                <w:b/>
                <w:sz w:val="20"/>
                <w:szCs w:val="20"/>
                <w:vertAlign w:val="superscript"/>
              </w:rPr>
            </w:pPr>
            <w:r>
              <w:rPr>
                <w:rFonts w:ascii="Calibri Light" w:eastAsia="Times New Roman" w:hAnsi="Calibri Light" w:cs="Arial"/>
                <w:sz w:val="18"/>
                <w:szCs w:val="18"/>
              </w:rPr>
              <w:t>0.017</w:t>
            </w:r>
          </w:p>
        </w:tc>
      </w:tr>
      <w:tr w:rsidR="00B35E74" w:rsidRPr="00ED6DA5" w14:paraId="21EC2CE5" w14:textId="77777777" w:rsidTr="00C95771">
        <w:trPr>
          <w:trHeight w:val="273"/>
        </w:trPr>
        <w:tc>
          <w:tcPr>
            <w:tcW w:w="2927" w:type="dxa"/>
            <w:tcBorders>
              <w:right w:val="single" w:sz="4" w:space="0" w:color="auto"/>
            </w:tcBorders>
          </w:tcPr>
          <w:p w14:paraId="3A75AE5B" w14:textId="77777777" w:rsidR="00B35E74" w:rsidRPr="00ED6DA5" w:rsidRDefault="00B35E74" w:rsidP="006A7962">
            <w:pPr>
              <w:ind w:right="-426"/>
              <w:rPr>
                <w:rFonts w:ascii="Calibri Light" w:eastAsia="Times New Roman" w:hAnsi="Calibri Light" w:cs="Arial"/>
                <w:b/>
                <w:i/>
                <w:iCs/>
                <w:sz w:val="18"/>
                <w:szCs w:val="18"/>
              </w:rPr>
            </w:pPr>
            <w:r w:rsidRPr="00ED6DA5">
              <w:rPr>
                <w:rFonts w:ascii="Calibri Light" w:eastAsia="Times New Roman" w:hAnsi="Calibri Light" w:cs="Arial"/>
                <w:b/>
                <w:i/>
                <w:iCs/>
                <w:sz w:val="18"/>
                <w:szCs w:val="18"/>
              </w:rPr>
              <w:t xml:space="preserve">OFC </w:t>
            </w:r>
          </w:p>
        </w:tc>
        <w:tc>
          <w:tcPr>
            <w:tcW w:w="827" w:type="dxa"/>
            <w:tcBorders>
              <w:left w:val="single" w:sz="4" w:space="0" w:color="auto"/>
            </w:tcBorders>
            <w:noWrap/>
          </w:tcPr>
          <w:p w14:paraId="4FAEB0F3" w14:textId="77777777" w:rsidR="00B35E74" w:rsidRPr="00ED6DA5" w:rsidRDefault="00B35E74" w:rsidP="006A7962">
            <w:pPr>
              <w:jc w:val="right"/>
              <w:rPr>
                <w:rFonts w:ascii="Calibri Light" w:eastAsia="Times New Roman" w:hAnsi="Calibri Light" w:cs="Arial"/>
                <w:b/>
                <w:sz w:val="18"/>
                <w:szCs w:val="18"/>
              </w:rPr>
            </w:pPr>
          </w:p>
        </w:tc>
        <w:tc>
          <w:tcPr>
            <w:tcW w:w="815" w:type="dxa"/>
            <w:noWrap/>
          </w:tcPr>
          <w:p w14:paraId="7BC73696" w14:textId="77777777" w:rsidR="00B35E74" w:rsidRPr="00ED6DA5" w:rsidRDefault="00B35E74" w:rsidP="006A7962">
            <w:pPr>
              <w:rPr>
                <w:rFonts w:ascii="Calibri Light" w:eastAsia="Times New Roman" w:hAnsi="Calibri Light" w:cs="Arial"/>
                <w:b/>
                <w:sz w:val="18"/>
                <w:szCs w:val="18"/>
              </w:rPr>
            </w:pPr>
          </w:p>
        </w:tc>
        <w:tc>
          <w:tcPr>
            <w:tcW w:w="856" w:type="dxa"/>
            <w:noWrap/>
          </w:tcPr>
          <w:p w14:paraId="2486104E" w14:textId="77777777" w:rsidR="00B35E74" w:rsidRPr="00ED6DA5" w:rsidRDefault="00B35E74" w:rsidP="006A7962">
            <w:pPr>
              <w:jc w:val="right"/>
              <w:rPr>
                <w:rFonts w:ascii="Calibri Light" w:eastAsia="Times New Roman" w:hAnsi="Calibri Light" w:cs="Arial"/>
                <w:b/>
                <w:sz w:val="18"/>
                <w:szCs w:val="18"/>
              </w:rPr>
            </w:pPr>
          </w:p>
        </w:tc>
        <w:tc>
          <w:tcPr>
            <w:tcW w:w="798" w:type="dxa"/>
            <w:noWrap/>
          </w:tcPr>
          <w:p w14:paraId="462C44E5" w14:textId="77777777" w:rsidR="00B35E74" w:rsidRPr="00ED6DA5" w:rsidRDefault="00B35E74" w:rsidP="006A7962">
            <w:pPr>
              <w:rPr>
                <w:rFonts w:ascii="Calibri Light" w:eastAsia="Times New Roman" w:hAnsi="Calibri Light" w:cs="Arial"/>
                <w:b/>
                <w:sz w:val="18"/>
                <w:szCs w:val="18"/>
              </w:rPr>
            </w:pPr>
          </w:p>
        </w:tc>
        <w:tc>
          <w:tcPr>
            <w:tcW w:w="1108" w:type="dxa"/>
            <w:noWrap/>
          </w:tcPr>
          <w:p w14:paraId="2B5BE6C0" w14:textId="77777777" w:rsidR="00B35E74" w:rsidRPr="00ED6DA5" w:rsidRDefault="00B35E74" w:rsidP="006A7962">
            <w:pPr>
              <w:jc w:val="right"/>
              <w:rPr>
                <w:rFonts w:ascii="Calibri Light" w:eastAsia="Times New Roman" w:hAnsi="Calibri Light" w:cs="Arial"/>
                <w:b/>
                <w:sz w:val="18"/>
                <w:szCs w:val="18"/>
              </w:rPr>
            </w:pPr>
          </w:p>
        </w:tc>
        <w:tc>
          <w:tcPr>
            <w:tcW w:w="1341" w:type="dxa"/>
            <w:noWrap/>
          </w:tcPr>
          <w:p w14:paraId="7FB01A41" w14:textId="77777777" w:rsidR="00B35E74" w:rsidRPr="00ED6DA5" w:rsidRDefault="00B35E74" w:rsidP="00C95771">
            <w:pPr>
              <w:jc w:val="right"/>
              <w:rPr>
                <w:rFonts w:ascii="Calibri Light" w:eastAsia="Times New Roman" w:hAnsi="Calibri Light" w:cs="Arial"/>
                <w:b/>
                <w:sz w:val="18"/>
                <w:szCs w:val="18"/>
              </w:rPr>
            </w:pPr>
          </w:p>
        </w:tc>
      </w:tr>
      <w:tr w:rsidR="00B35E74" w:rsidRPr="00ED6DA5" w14:paraId="553BB290" w14:textId="77777777" w:rsidTr="00C95771">
        <w:trPr>
          <w:trHeight w:val="307"/>
        </w:trPr>
        <w:tc>
          <w:tcPr>
            <w:tcW w:w="2927" w:type="dxa"/>
            <w:tcBorders>
              <w:right w:val="single" w:sz="4" w:space="0" w:color="auto"/>
            </w:tcBorders>
            <w:hideMark/>
          </w:tcPr>
          <w:p w14:paraId="7C831BA3"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eastAsia="Times New Roman" w:hAnsi="Calibri Light" w:cs="Arial"/>
                <w:i/>
                <w:iCs/>
                <w:sz w:val="18"/>
                <w:szCs w:val="18"/>
              </w:rPr>
              <w:t xml:space="preserve">OFC </w:t>
            </w:r>
            <w:r w:rsidRPr="00ED6DA5">
              <w:rPr>
                <w:rStyle w:val="Nadruk"/>
                <w:rFonts w:ascii="Calibri Light" w:eastAsia="Times New Roman" w:hAnsi="Calibri Light" w:cs="Arial"/>
                <w:sz w:val="18"/>
                <w:szCs w:val="18"/>
                <w:shd w:val="clear" w:color="auto" w:fill="FFFFFF"/>
              </w:rPr>
              <w:t>Anterior orbital gyrus</w:t>
            </w:r>
            <w:r w:rsidRPr="00ED6DA5">
              <w:rPr>
                <w:rFonts w:ascii="Calibri Light" w:eastAsia="Times New Roman" w:hAnsi="Calibri Light" w:cs="Arial"/>
                <w:i/>
                <w:iCs/>
                <w:sz w:val="18"/>
                <w:szCs w:val="18"/>
              </w:rPr>
              <w:t xml:space="preserve"> </w:t>
            </w:r>
          </w:p>
        </w:tc>
        <w:tc>
          <w:tcPr>
            <w:tcW w:w="827" w:type="dxa"/>
            <w:tcBorders>
              <w:left w:val="single" w:sz="4" w:space="0" w:color="auto"/>
            </w:tcBorders>
            <w:noWrap/>
            <w:hideMark/>
          </w:tcPr>
          <w:p w14:paraId="4CC8433C"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0.24</w:t>
            </w:r>
          </w:p>
        </w:tc>
        <w:tc>
          <w:tcPr>
            <w:tcW w:w="815" w:type="dxa"/>
            <w:noWrap/>
            <w:hideMark/>
          </w:tcPr>
          <w:p w14:paraId="39C83AED" w14:textId="4C0B67C8"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w:t>
            </w:r>
            <w:r w:rsidR="00F609B5">
              <w:rPr>
                <w:rFonts w:ascii="Calibri Light" w:eastAsia="Times New Roman" w:hAnsi="Calibri Light" w:cs="Arial"/>
                <w:sz w:val="18"/>
                <w:szCs w:val="18"/>
              </w:rPr>
              <w:t>09</w:t>
            </w:r>
          </w:p>
        </w:tc>
        <w:tc>
          <w:tcPr>
            <w:tcW w:w="856" w:type="dxa"/>
            <w:noWrap/>
            <w:hideMark/>
          </w:tcPr>
          <w:p w14:paraId="51895FAD"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0.38</w:t>
            </w:r>
          </w:p>
        </w:tc>
        <w:tc>
          <w:tcPr>
            <w:tcW w:w="798" w:type="dxa"/>
            <w:noWrap/>
            <w:hideMark/>
          </w:tcPr>
          <w:p w14:paraId="1E2857ED" w14:textId="6C994297" w:rsidR="00B35E74" w:rsidRPr="00ED6DA5" w:rsidRDefault="00B35E74" w:rsidP="00F609B5">
            <w:pPr>
              <w:rPr>
                <w:rFonts w:ascii="Calibri Light" w:eastAsia="Times New Roman" w:hAnsi="Calibri Light" w:cs="Arial"/>
                <w:sz w:val="18"/>
                <w:szCs w:val="18"/>
              </w:rPr>
            </w:pPr>
            <w:r w:rsidRPr="00ED6DA5">
              <w:rPr>
                <w:rFonts w:ascii="Calibri Light" w:eastAsia="Times New Roman" w:hAnsi="Calibri Light" w:cs="Arial"/>
                <w:sz w:val="18"/>
                <w:szCs w:val="18"/>
              </w:rPr>
              <w:t>0.1</w:t>
            </w:r>
            <w:r w:rsidR="00F609B5">
              <w:rPr>
                <w:rFonts w:ascii="Calibri Light" w:eastAsia="Times New Roman" w:hAnsi="Calibri Light" w:cs="Arial"/>
                <w:sz w:val="18"/>
                <w:szCs w:val="18"/>
              </w:rPr>
              <w:t>3</w:t>
            </w:r>
          </w:p>
        </w:tc>
        <w:tc>
          <w:tcPr>
            <w:tcW w:w="1108" w:type="dxa"/>
            <w:noWrap/>
            <w:hideMark/>
          </w:tcPr>
          <w:p w14:paraId="0CC1DE0A" w14:textId="4E9C7A04" w:rsidR="00B35E74" w:rsidRPr="00ED6DA5" w:rsidRDefault="00F25C03" w:rsidP="006A7962">
            <w:pPr>
              <w:jc w:val="right"/>
              <w:rPr>
                <w:rFonts w:ascii="Calibri Light" w:eastAsia="Times New Roman" w:hAnsi="Calibri Light" w:cs="Arial"/>
                <w:sz w:val="18"/>
                <w:szCs w:val="18"/>
                <w:vertAlign w:val="superscript"/>
              </w:rPr>
            </w:pPr>
            <w:r>
              <w:rPr>
                <w:rFonts w:ascii="Calibri Light" w:eastAsia="Times New Roman" w:hAnsi="Calibri Light" w:cs="Arial"/>
                <w:sz w:val="18"/>
                <w:szCs w:val="18"/>
              </w:rPr>
              <w:t>9.83</w:t>
            </w:r>
            <w:r w:rsidR="00B35E74" w:rsidRPr="00ED6DA5">
              <w:rPr>
                <w:rFonts w:ascii="Calibri Light" w:eastAsia="Times New Roman" w:hAnsi="Calibri Light" w:cs="Arial"/>
                <w:sz w:val="18"/>
                <w:szCs w:val="18"/>
                <w:vertAlign w:val="superscript"/>
              </w:rPr>
              <w:t>c</w:t>
            </w:r>
          </w:p>
        </w:tc>
        <w:tc>
          <w:tcPr>
            <w:tcW w:w="1341" w:type="dxa"/>
            <w:noWrap/>
            <w:hideMark/>
          </w:tcPr>
          <w:p w14:paraId="046FEF4B" w14:textId="41E167C6" w:rsidR="00B35E74" w:rsidRPr="00C95771" w:rsidRDefault="00C95771" w:rsidP="00C95771">
            <w:pPr>
              <w:jc w:val="right"/>
              <w:rPr>
                <w:rFonts w:ascii="Calibri Light" w:eastAsia="Times New Roman" w:hAnsi="Calibri Light" w:cs="Arial"/>
                <w:sz w:val="18"/>
                <w:szCs w:val="18"/>
              </w:rPr>
            </w:pPr>
            <w:r>
              <w:rPr>
                <w:rFonts w:ascii="Calibri Light" w:eastAsia="Times New Roman" w:hAnsi="Calibri Light" w:cs="Arial"/>
                <w:sz w:val="18"/>
                <w:szCs w:val="18"/>
              </w:rPr>
              <w:t xml:space="preserve">           </w:t>
            </w:r>
            <w:r w:rsidR="00AB3841">
              <w:rPr>
                <w:rFonts w:ascii="Calibri Light" w:eastAsia="Times New Roman" w:hAnsi="Calibri Light" w:cs="Arial"/>
                <w:sz w:val="18"/>
                <w:szCs w:val="18"/>
              </w:rPr>
              <w:t xml:space="preserve">   </w:t>
            </w:r>
            <w:r w:rsidR="00F25C03">
              <w:rPr>
                <w:rFonts w:ascii="Calibri Light" w:eastAsia="Times New Roman" w:hAnsi="Calibri Light" w:cs="Arial"/>
                <w:sz w:val="18"/>
                <w:szCs w:val="18"/>
              </w:rPr>
              <w:t>0.004</w:t>
            </w:r>
            <w:r w:rsidR="0093081C" w:rsidRPr="00C95771">
              <w:rPr>
                <w:rFonts w:ascii="Calibri Light" w:eastAsia="Times New Roman" w:hAnsi="Calibri Light" w:cs="Arial"/>
                <w:sz w:val="18"/>
                <w:szCs w:val="18"/>
                <w:vertAlign w:val="superscript"/>
              </w:rPr>
              <w:t>**</w:t>
            </w:r>
          </w:p>
        </w:tc>
      </w:tr>
      <w:tr w:rsidR="00B35E74" w:rsidRPr="00ED6DA5" w14:paraId="0B42CDF7" w14:textId="77777777" w:rsidTr="00C95771">
        <w:trPr>
          <w:trHeight w:val="273"/>
        </w:trPr>
        <w:tc>
          <w:tcPr>
            <w:tcW w:w="2927" w:type="dxa"/>
            <w:tcBorders>
              <w:right w:val="single" w:sz="4" w:space="0" w:color="auto"/>
            </w:tcBorders>
            <w:hideMark/>
          </w:tcPr>
          <w:p w14:paraId="6E3E1F7E"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eastAsia="Times New Roman" w:hAnsi="Calibri Light" w:cs="Arial"/>
                <w:i/>
                <w:iCs/>
                <w:sz w:val="18"/>
                <w:szCs w:val="18"/>
              </w:rPr>
              <w:t xml:space="preserve">OFC </w:t>
            </w:r>
            <w:r w:rsidRPr="00ED6DA5">
              <w:rPr>
                <w:rStyle w:val="Nadruk"/>
                <w:rFonts w:ascii="Calibri Light" w:eastAsia="Times New Roman" w:hAnsi="Calibri Light" w:cs="Arial"/>
                <w:sz w:val="18"/>
                <w:szCs w:val="18"/>
                <w:shd w:val="clear" w:color="auto" w:fill="FFFFFF"/>
              </w:rPr>
              <w:t>Medial orbital gyrus</w:t>
            </w:r>
          </w:p>
        </w:tc>
        <w:tc>
          <w:tcPr>
            <w:tcW w:w="827" w:type="dxa"/>
            <w:tcBorders>
              <w:left w:val="single" w:sz="4" w:space="0" w:color="auto"/>
            </w:tcBorders>
            <w:noWrap/>
            <w:hideMark/>
          </w:tcPr>
          <w:p w14:paraId="604B152A"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0.85</w:t>
            </w:r>
          </w:p>
        </w:tc>
        <w:tc>
          <w:tcPr>
            <w:tcW w:w="815" w:type="dxa"/>
            <w:noWrap/>
            <w:hideMark/>
          </w:tcPr>
          <w:p w14:paraId="3B77D7C8"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0.40</w:t>
            </w:r>
          </w:p>
        </w:tc>
        <w:tc>
          <w:tcPr>
            <w:tcW w:w="856" w:type="dxa"/>
            <w:noWrap/>
            <w:hideMark/>
          </w:tcPr>
          <w:p w14:paraId="7F9DE03B"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1.00</w:t>
            </w:r>
          </w:p>
        </w:tc>
        <w:tc>
          <w:tcPr>
            <w:tcW w:w="798" w:type="dxa"/>
            <w:noWrap/>
            <w:hideMark/>
          </w:tcPr>
          <w:p w14:paraId="66B029B2"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0.43</w:t>
            </w:r>
          </w:p>
        </w:tc>
        <w:tc>
          <w:tcPr>
            <w:tcW w:w="1108" w:type="dxa"/>
            <w:noWrap/>
            <w:hideMark/>
          </w:tcPr>
          <w:p w14:paraId="0F3C9205" w14:textId="67D3A541" w:rsidR="00B35E74" w:rsidRPr="00ED6DA5" w:rsidRDefault="00F25C03" w:rsidP="006A7962">
            <w:pPr>
              <w:jc w:val="right"/>
              <w:rPr>
                <w:rFonts w:ascii="Calibri Light" w:eastAsia="Times New Roman" w:hAnsi="Calibri Light" w:cs="Arial"/>
                <w:sz w:val="18"/>
                <w:szCs w:val="18"/>
                <w:vertAlign w:val="superscript"/>
              </w:rPr>
            </w:pPr>
            <w:r>
              <w:rPr>
                <w:rFonts w:ascii="Calibri Light" w:eastAsia="Times New Roman" w:hAnsi="Calibri Light" w:cs="Arial"/>
                <w:sz w:val="18"/>
                <w:szCs w:val="18"/>
              </w:rPr>
              <w:t>0.98</w:t>
            </w:r>
            <w:r w:rsidR="00B35E74" w:rsidRPr="00ED6DA5">
              <w:rPr>
                <w:rFonts w:ascii="Calibri Light" w:eastAsia="Times New Roman" w:hAnsi="Calibri Light" w:cs="Arial"/>
                <w:sz w:val="18"/>
                <w:szCs w:val="18"/>
                <w:vertAlign w:val="superscript"/>
              </w:rPr>
              <w:t>c</w:t>
            </w:r>
          </w:p>
        </w:tc>
        <w:tc>
          <w:tcPr>
            <w:tcW w:w="1341" w:type="dxa"/>
            <w:noWrap/>
            <w:hideMark/>
          </w:tcPr>
          <w:p w14:paraId="21BA8310" w14:textId="3D778D9F" w:rsidR="00B35E74" w:rsidRPr="00ED6DA5" w:rsidRDefault="00F25C03" w:rsidP="00C95771">
            <w:pPr>
              <w:jc w:val="right"/>
              <w:rPr>
                <w:rFonts w:ascii="Calibri Light" w:eastAsia="Times New Roman" w:hAnsi="Calibri Light" w:cs="Arial"/>
                <w:sz w:val="18"/>
                <w:szCs w:val="18"/>
              </w:rPr>
            </w:pPr>
            <w:r>
              <w:rPr>
                <w:rFonts w:ascii="Calibri Light" w:eastAsia="Times New Roman" w:hAnsi="Calibri Light" w:cs="Arial"/>
                <w:sz w:val="18"/>
                <w:szCs w:val="18"/>
              </w:rPr>
              <w:t>0.332</w:t>
            </w:r>
          </w:p>
        </w:tc>
      </w:tr>
      <w:tr w:rsidR="00B35E74" w:rsidRPr="00ED6DA5" w14:paraId="37278AE8" w14:textId="77777777" w:rsidTr="00C95771">
        <w:trPr>
          <w:trHeight w:val="273"/>
        </w:trPr>
        <w:tc>
          <w:tcPr>
            <w:tcW w:w="2927" w:type="dxa"/>
            <w:tcBorders>
              <w:right w:val="single" w:sz="4" w:space="0" w:color="auto"/>
            </w:tcBorders>
            <w:hideMark/>
          </w:tcPr>
          <w:p w14:paraId="1CE42558"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eastAsia="Times New Roman" w:hAnsi="Calibri Light" w:cs="Arial"/>
                <w:i/>
                <w:iCs/>
                <w:sz w:val="18"/>
                <w:szCs w:val="18"/>
              </w:rPr>
              <w:t xml:space="preserve">OFC </w:t>
            </w:r>
            <w:r w:rsidRPr="00ED6DA5">
              <w:rPr>
                <w:rStyle w:val="Nadruk"/>
                <w:rFonts w:ascii="Calibri Light" w:eastAsia="Times New Roman" w:hAnsi="Calibri Light" w:cs="Arial"/>
                <w:sz w:val="18"/>
                <w:szCs w:val="18"/>
                <w:shd w:val="clear" w:color="auto" w:fill="FFFFFF"/>
              </w:rPr>
              <w:t>Lateral orbital gyrus</w:t>
            </w:r>
            <w:r w:rsidRPr="00ED6DA5">
              <w:rPr>
                <w:rFonts w:ascii="Calibri Light" w:eastAsia="Times New Roman" w:hAnsi="Calibri Light" w:cs="Arial"/>
                <w:i/>
                <w:iCs/>
                <w:sz w:val="18"/>
                <w:szCs w:val="18"/>
              </w:rPr>
              <w:t xml:space="preserve"> </w:t>
            </w:r>
          </w:p>
        </w:tc>
        <w:tc>
          <w:tcPr>
            <w:tcW w:w="827" w:type="dxa"/>
            <w:tcBorders>
              <w:left w:val="single" w:sz="4" w:space="0" w:color="auto"/>
            </w:tcBorders>
            <w:noWrap/>
            <w:hideMark/>
          </w:tcPr>
          <w:p w14:paraId="777965AD"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0.34</w:t>
            </w:r>
          </w:p>
        </w:tc>
        <w:tc>
          <w:tcPr>
            <w:tcW w:w="815" w:type="dxa"/>
            <w:noWrap/>
            <w:hideMark/>
          </w:tcPr>
          <w:p w14:paraId="073E8D58"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0.08</w:t>
            </w:r>
          </w:p>
        </w:tc>
        <w:tc>
          <w:tcPr>
            <w:tcW w:w="856" w:type="dxa"/>
            <w:noWrap/>
            <w:hideMark/>
          </w:tcPr>
          <w:p w14:paraId="05C1273D"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0.42</w:t>
            </w:r>
          </w:p>
        </w:tc>
        <w:tc>
          <w:tcPr>
            <w:tcW w:w="798" w:type="dxa"/>
            <w:noWrap/>
            <w:hideMark/>
          </w:tcPr>
          <w:p w14:paraId="5E0B0076"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0.14</w:t>
            </w:r>
          </w:p>
        </w:tc>
        <w:tc>
          <w:tcPr>
            <w:tcW w:w="1108" w:type="dxa"/>
            <w:noWrap/>
            <w:hideMark/>
          </w:tcPr>
          <w:p w14:paraId="671D9CA3" w14:textId="2E80F2E4" w:rsidR="00B35E74" w:rsidRPr="00ED6DA5" w:rsidRDefault="00F25C03" w:rsidP="006A7962">
            <w:pPr>
              <w:jc w:val="right"/>
              <w:rPr>
                <w:rFonts w:ascii="Calibri Light" w:eastAsia="Times New Roman" w:hAnsi="Calibri Light" w:cs="Arial"/>
                <w:sz w:val="18"/>
                <w:szCs w:val="18"/>
                <w:vertAlign w:val="superscript"/>
              </w:rPr>
            </w:pPr>
            <w:r>
              <w:rPr>
                <w:rFonts w:ascii="Calibri Light" w:eastAsia="Times New Roman" w:hAnsi="Calibri Light" w:cs="Arial"/>
                <w:sz w:val="18"/>
                <w:szCs w:val="18"/>
              </w:rPr>
              <w:t>3.91</w:t>
            </w:r>
            <w:r w:rsidR="00B35E74" w:rsidRPr="00ED6DA5">
              <w:rPr>
                <w:rFonts w:ascii="Calibri Light" w:eastAsia="Times New Roman" w:hAnsi="Calibri Light" w:cs="Arial"/>
                <w:sz w:val="18"/>
                <w:szCs w:val="18"/>
                <w:vertAlign w:val="superscript"/>
              </w:rPr>
              <w:t>c</w:t>
            </w:r>
          </w:p>
        </w:tc>
        <w:tc>
          <w:tcPr>
            <w:tcW w:w="1341" w:type="dxa"/>
            <w:noWrap/>
            <w:hideMark/>
          </w:tcPr>
          <w:p w14:paraId="760EF706" w14:textId="374B23DC" w:rsidR="00B35E74" w:rsidRPr="00ED6DA5" w:rsidRDefault="00F25C03" w:rsidP="00F25C03">
            <w:pPr>
              <w:jc w:val="right"/>
              <w:rPr>
                <w:rFonts w:ascii="Calibri Light" w:eastAsia="Times New Roman" w:hAnsi="Calibri Light" w:cs="Arial"/>
                <w:b/>
                <w:sz w:val="20"/>
                <w:szCs w:val="20"/>
                <w:vertAlign w:val="superscript"/>
              </w:rPr>
            </w:pPr>
            <w:r>
              <w:rPr>
                <w:rFonts w:ascii="Calibri Light" w:eastAsia="Times New Roman" w:hAnsi="Calibri Light" w:cs="Arial"/>
                <w:sz w:val="18"/>
                <w:szCs w:val="18"/>
              </w:rPr>
              <w:t>0.058</w:t>
            </w:r>
          </w:p>
        </w:tc>
      </w:tr>
      <w:tr w:rsidR="00B35E74" w:rsidRPr="00ED6DA5" w14:paraId="38489AEA" w14:textId="77777777" w:rsidTr="00C95771">
        <w:trPr>
          <w:trHeight w:val="273"/>
        </w:trPr>
        <w:tc>
          <w:tcPr>
            <w:tcW w:w="2927" w:type="dxa"/>
            <w:tcBorders>
              <w:right w:val="single" w:sz="4" w:space="0" w:color="auto"/>
            </w:tcBorders>
            <w:hideMark/>
          </w:tcPr>
          <w:p w14:paraId="0308A526"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eastAsia="Times New Roman" w:hAnsi="Calibri Light" w:cs="Arial"/>
                <w:i/>
                <w:iCs/>
                <w:sz w:val="18"/>
                <w:szCs w:val="18"/>
              </w:rPr>
              <w:t xml:space="preserve">OFC </w:t>
            </w:r>
            <w:r w:rsidRPr="00ED6DA5">
              <w:rPr>
                <w:rStyle w:val="Nadruk"/>
                <w:rFonts w:ascii="Calibri Light" w:eastAsia="Times New Roman" w:hAnsi="Calibri Light" w:cs="Arial"/>
                <w:sz w:val="18"/>
                <w:szCs w:val="18"/>
                <w:shd w:val="clear" w:color="auto" w:fill="FFFFFF"/>
              </w:rPr>
              <w:t>Parietal orbital gyrus</w:t>
            </w:r>
          </w:p>
        </w:tc>
        <w:tc>
          <w:tcPr>
            <w:tcW w:w="827" w:type="dxa"/>
            <w:tcBorders>
              <w:left w:val="single" w:sz="4" w:space="0" w:color="auto"/>
            </w:tcBorders>
            <w:noWrap/>
            <w:hideMark/>
          </w:tcPr>
          <w:p w14:paraId="7DB4657D"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1.15</w:t>
            </w:r>
          </w:p>
        </w:tc>
        <w:tc>
          <w:tcPr>
            <w:tcW w:w="815" w:type="dxa"/>
            <w:noWrap/>
            <w:hideMark/>
          </w:tcPr>
          <w:p w14:paraId="0CA65F95"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0.47</w:t>
            </w:r>
          </w:p>
        </w:tc>
        <w:tc>
          <w:tcPr>
            <w:tcW w:w="856" w:type="dxa"/>
            <w:noWrap/>
            <w:hideMark/>
          </w:tcPr>
          <w:p w14:paraId="65AD8236"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1.20</w:t>
            </w:r>
          </w:p>
        </w:tc>
        <w:tc>
          <w:tcPr>
            <w:tcW w:w="798" w:type="dxa"/>
            <w:noWrap/>
            <w:hideMark/>
          </w:tcPr>
          <w:p w14:paraId="4C693C77"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0.48</w:t>
            </w:r>
          </w:p>
        </w:tc>
        <w:tc>
          <w:tcPr>
            <w:tcW w:w="1108" w:type="dxa"/>
            <w:noWrap/>
            <w:hideMark/>
          </w:tcPr>
          <w:p w14:paraId="7C417BD1" w14:textId="43A280F1" w:rsidR="00B35E74" w:rsidRPr="00ED6DA5" w:rsidRDefault="00B35E74" w:rsidP="00F25C03">
            <w:pPr>
              <w:jc w:val="right"/>
              <w:rPr>
                <w:rFonts w:ascii="Calibri Light" w:eastAsia="Times New Roman" w:hAnsi="Calibri Light" w:cs="Arial"/>
                <w:sz w:val="18"/>
                <w:szCs w:val="18"/>
                <w:vertAlign w:val="superscript"/>
              </w:rPr>
            </w:pPr>
            <w:r w:rsidRPr="00ED6DA5">
              <w:rPr>
                <w:rFonts w:ascii="Calibri Light" w:eastAsia="Times New Roman" w:hAnsi="Calibri Light" w:cs="Arial"/>
                <w:sz w:val="18"/>
                <w:szCs w:val="18"/>
              </w:rPr>
              <w:t>0.</w:t>
            </w:r>
            <w:r w:rsidR="00F25C03">
              <w:rPr>
                <w:rFonts w:ascii="Calibri Light" w:eastAsia="Times New Roman" w:hAnsi="Calibri Light" w:cs="Arial"/>
                <w:sz w:val="18"/>
                <w:szCs w:val="18"/>
              </w:rPr>
              <w:t>09</w:t>
            </w:r>
            <w:r w:rsidR="00F25C03" w:rsidRPr="00ED6DA5">
              <w:rPr>
                <w:rFonts w:ascii="Calibri Light" w:eastAsia="Times New Roman" w:hAnsi="Calibri Light" w:cs="Arial"/>
                <w:sz w:val="18"/>
                <w:szCs w:val="18"/>
                <w:vertAlign w:val="superscript"/>
              </w:rPr>
              <w:t>c</w:t>
            </w:r>
          </w:p>
        </w:tc>
        <w:tc>
          <w:tcPr>
            <w:tcW w:w="1341" w:type="dxa"/>
            <w:noWrap/>
            <w:hideMark/>
          </w:tcPr>
          <w:p w14:paraId="7737F1EA" w14:textId="4C39663B" w:rsidR="00B35E74" w:rsidRPr="00ED6DA5" w:rsidRDefault="00B35E74" w:rsidP="00C95771">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w:t>
            </w:r>
            <w:r w:rsidR="00F25C03">
              <w:rPr>
                <w:rFonts w:ascii="Calibri Light" w:eastAsia="Times New Roman" w:hAnsi="Calibri Light" w:cs="Arial"/>
                <w:sz w:val="18"/>
                <w:szCs w:val="18"/>
              </w:rPr>
              <w:t>764</w:t>
            </w:r>
          </w:p>
        </w:tc>
      </w:tr>
      <w:tr w:rsidR="00B35E74" w:rsidRPr="00ED6DA5" w14:paraId="3F120234" w14:textId="77777777" w:rsidTr="00C95771">
        <w:trPr>
          <w:trHeight w:val="237"/>
        </w:trPr>
        <w:tc>
          <w:tcPr>
            <w:tcW w:w="2927" w:type="dxa"/>
            <w:tcBorders>
              <w:right w:val="single" w:sz="4" w:space="0" w:color="auto"/>
            </w:tcBorders>
          </w:tcPr>
          <w:p w14:paraId="546BD50E" w14:textId="77777777" w:rsidR="00B35E74" w:rsidRPr="00ED6DA5" w:rsidRDefault="00B35E74" w:rsidP="006A7962">
            <w:pPr>
              <w:ind w:right="-426"/>
              <w:rPr>
                <w:rFonts w:ascii="Calibri Light" w:eastAsia="Times New Roman" w:hAnsi="Calibri Light" w:cs="Arial"/>
                <w:b/>
                <w:i/>
                <w:iCs/>
                <w:sz w:val="18"/>
                <w:szCs w:val="18"/>
              </w:rPr>
            </w:pPr>
            <w:r w:rsidRPr="00ED6DA5">
              <w:rPr>
                <w:rFonts w:ascii="Calibri Light" w:eastAsia="Times New Roman" w:hAnsi="Calibri Light" w:cs="Arial"/>
                <w:b/>
                <w:i/>
                <w:iCs/>
                <w:sz w:val="18"/>
                <w:szCs w:val="18"/>
              </w:rPr>
              <w:t>ACC</w:t>
            </w:r>
          </w:p>
        </w:tc>
        <w:tc>
          <w:tcPr>
            <w:tcW w:w="827" w:type="dxa"/>
            <w:tcBorders>
              <w:left w:val="single" w:sz="4" w:space="0" w:color="auto"/>
            </w:tcBorders>
            <w:noWrap/>
          </w:tcPr>
          <w:p w14:paraId="47D94FF4" w14:textId="77777777" w:rsidR="00B35E74" w:rsidRPr="00ED6DA5" w:rsidRDefault="00B35E74" w:rsidP="006A7962">
            <w:pPr>
              <w:jc w:val="right"/>
              <w:rPr>
                <w:rFonts w:ascii="Calibri Light" w:eastAsia="Times New Roman" w:hAnsi="Calibri Light" w:cs="Arial"/>
                <w:b/>
                <w:sz w:val="18"/>
                <w:szCs w:val="18"/>
              </w:rPr>
            </w:pPr>
          </w:p>
        </w:tc>
        <w:tc>
          <w:tcPr>
            <w:tcW w:w="815" w:type="dxa"/>
            <w:noWrap/>
          </w:tcPr>
          <w:p w14:paraId="76DD239F" w14:textId="77777777" w:rsidR="00B35E74" w:rsidRPr="00ED6DA5" w:rsidRDefault="00B35E74" w:rsidP="006A7962">
            <w:pPr>
              <w:rPr>
                <w:rFonts w:ascii="Calibri Light" w:eastAsia="Times New Roman" w:hAnsi="Calibri Light" w:cs="Arial"/>
                <w:b/>
                <w:sz w:val="18"/>
                <w:szCs w:val="18"/>
              </w:rPr>
            </w:pPr>
          </w:p>
        </w:tc>
        <w:tc>
          <w:tcPr>
            <w:tcW w:w="856" w:type="dxa"/>
            <w:noWrap/>
          </w:tcPr>
          <w:p w14:paraId="1CAC7EC1" w14:textId="77777777" w:rsidR="00B35E74" w:rsidRPr="00ED6DA5" w:rsidRDefault="00B35E74" w:rsidP="006A7962">
            <w:pPr>
              <w:jc w:val="right"/>
              <w:rPr>
                <w:rFonts w:ascii="Calibri Light" w:eastAsia="Times New Roman" w:hAnsi="Calibri Light" w:cs="Arial"/>
                <w:b/>
                <w:sz w:val="18"/>
                <w:szCs w:val="18"/>
              </w:rPr>
            </w:pPr>
          </w:p>
        </w:tc>
        <w:tc>
          <w:tcPr>
            <w:tcW w:w="798" w:type="dxa"/>
            <w:noWrap/>
          </w:tcPr>
          <w:p w14:paraId="20876C7C" w14:textId="77777777" w:rsidR="00B35E74" w:rsidRPr="00ED6DA5" w:rsidRDefault="00B35E74" w:rsidP="006A7962">
            <w:pPr>
              <w:rPr>
                <w:rFonts w:ascii="Calibri Light" w:eastAsia="Times New Roman" w:hAnsi="Calibri Light" w:cs="Arial"/>
                <w:b/>
                <w:sz w:val="18"/>
                <w:szCs w:val="18"/>
              </w:rPr>
            </w:pPr>
          </w:p>
        </w:tc>
        <w:tc>
          <w:tcPr>
            <w:tcW w:w="1108" w:type="dxa"/>
            <w:noWrap/>
          </w:tcPr>
          <w:p w14:paraId="065997A2" w14:textId="77777777" w:rsidR="00B35E74" w:rsidRPr="00ED6DA5" w:rsidRDefault="00B35E74" w:rsidP="006A7962">
            <w:pPr>
              <w:jc w:val="right"/>
              <w:rPr>
                <w:rFonts w:ascii="Calibri Light" w:eastAsia="Times New Roman" w:hAnsi="Calibri Light" w:cs="Arial"/>
                <w:b/>
                <w:sz w:val="18"/>
                <w:szCs w:val="18"/>
              </w:rPr>
            </w:pPr>
          </w:p>
        </w:tc>
        <w:tc>
          <w:tcPr>
            <w:tcW w:w="1341" w:type="dxa"/>
            <w:noWrap/>
          </w:tcPr>
          <w:p w14:paraId="361AD960" w14:textId="77777777" w:rsidR="00B35E74" w:rsidRPr="00ED6DA5" w:rsidRDefault="00B35E74" w:rsidP="00C35F09">
            <w:pPr>
              <w:jc w:val="right"/>
              <w:rPr>
                <w:rFonts w:ascii="Calibri Light" w:eastAsia="Times New Roman" w:hAnsi="Calibri Light" w:cs="Arial"/>
                <w:b/>
                <w:sz w:val="18"/>
                <w:szCs w:val="18"/>
              </w:rPr>
            </w:pPr>
          </w:p>
        </w:tc>
      </w:tr>
      <w:tr w:rsidR="00B35E74" w:rsidRPr="00ED6DA5" w14:paraId="75E1401A" w14:textId="77777777" w:rsidTr="00C95771">
        <w:trPr>
          <w:trHeight w:val="273"/>
        </w:trPr>
        <w:tc>
          <w:tcPr>
            <w:tcW w:w="2927" w:type="dxa"/>
            <w:tcBorders>
              <w:right w:val="single" w:sz="4" w:space="0" w:color="auto"/>
            </w:tcBorders>
            <w:hideMark/>
          </w:tcPr>
          <w:p w14:paraId="30EB65ED"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hAnsi="Calibri Light"/>
                <w:i/>
                <w:sz w:val="18"/>
                <w:szCs w:val="18"/>
              </w:rPr>
              <w:t>Subgenual</w:t>
            </w:r>
            <w:r w:rsidRPr="00ED6DA5">
              <w:rPr>
                <w:rFonts w:ascii="Calibri Light" w:eastAsia="Times New Roman" w:hAnsi="Calibri Light" w:cs="Arial"/>
                <w:i/>
                <w:iCs/>
                <w:sz w:val="18"/>
                <w:szCs w:val="18"/>
              </w:rPr>
              <w:t xml:space="preserve"> ACC</w:t>
            </w:r>
          </w:p>
        </w:tc>
        <w:tc>
          <w:tcPr>
            <w:tcW w:w="827" w:type="dxa"/>
            <w:tcBorders>
              <w:left w:val="single" w:sz="4" w:space="0" w:color="auto"/>
            </w:tcBorders>
            <w:noWrap/>
            <w:hideMark/>
          </w:tcPr>
          <w:p w14:paraId="51B1F130"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1.70</w:t>
            </w:r>
          </w:p>
        </w:tc>
        <w:tc>
          <w:tcPr>
            <w:tcW w:w="815" w:type="dxa"/>
            <w:noWrap/>
            <w:hideMark/>
          </w:tcPr>
          <w:p w14:paraId="327EB234"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0.73</w:t>
            </w:r>
          </w:p>
        </w:tc>
        <w:tc>
          <w:tcPr>
            <w:tcW w:w="856" w:type="dxa"/>
            <w:noWrap/>
            <w:hideMark/>
          </w:tcPr>
          <w:p w14:paraId="418740B8"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1.81</w:t>
            </w:r>
          </w:p>
        </w:tc>
        <w:tc>
          <w:tcPr>
            <w:tcW w:w="798" w:type="dxa"/>
            <w:noWrap/>
            <w:hideMark/>
          </w:tcPr>
          <w:p w14:paraId="7CCAA5C9"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0.77</w:t>
            </w:r>
          </w:p>
        </w:tc>
        <w:tc>
          <w:tcPr>
            <w:tcW w:w="1108" w:type="dxa"/>
            <w:noWrap/>
            <w:hideMark/>
          </w:tcPr>
          <w:p w14:paraId="05471326" w14:textId="7EB7656D" w:rsidR="00B35E74" w:rsidRPr="00ED6DA5" w:rsidRDefault="00B35E74" w:rsidP="00F25C03">
            <w:pPr>
              <w:jc w:val="right"/>
              <w:rPr>
                <w:rFonts w:ascii="Calibri Light" w:eastAsia="Times New Roman" w:hAnsi="Calibri Light" w:cs="Arial"/>
                <w:sz w:val="18"/>
                <w:szCs w:val="18"/>
                <w:vertAlign w:val="superscript"/>
              </w:rPr>
            </w:pPr>
            <w:r w:rsidRPr="00ED6DA5">
              <w:rPr>
                <w:rFonts w:ascii="Calibri Light" w:eastAsia="Times New Roman" w:hAnsi="Calibri Light" w:cs="Arial"/>
                <w:sz w:val="18"/>
                <w:szCs w:val="18"/>
              </w:rPr>
              <w:t>0.</w:t>
            </w:r>
            <w:r w:rsidR="00F25C03">
              <w:rPr>
                <w:rFonts w:ascii="Calibri Light" w:eastAsia="Times New Roman" w:hAnsi="Calibri Light" w:cs="Arial"/>
                <w:sz w:val="18"/>
                <w:szCs w:val="18"/>
              </w:rPr>
              <w:t>16</w:t>
            </w:r>
            <w:r w:rsidR="00F25C03" w:rsidRPr="00ED6DA5">
              <w:rPr>
                <w:rFonts w:ascii="Calibri Light" w:eastAsia="Times New Roman" w:hAnsi="Calibri Light" w:cs="Arial"/>
                <w:sz w:val="18"/>
                <w:szCs w:val="18"/>
                <w:vertAlign w:val="superscript"/>
              </w:rPr>
              <w:t>c</w:t>
            </w:r>
          </w:p>
        </w:tc>
        <w:tc>
          <w:tcPr>
            <w:tcW w:w="1341" w:type="dxa"/>
            <w:noWrap/>
            <w:hideMark/>
          </w:tcPr>
          <w:p w14:paraId="12B6477D" w14:textId="5CBAF21E" w:rsidR="00B35E74" w:rsidRPr="00ED6DA5" w:rsidRDefault="00B35E74" w:rsidP="00C95771">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w:t>
            </w:r>
            <w:r w:rsidR="00F25C03">
              <w:rPr>
                <w:rFonts w:ascii="Calibri Light" w:eastAsia="Times New Roman" w:hAnsi="Calibri Light" w:cs="Arial"/>
                <w:sz w:val="18"/>
                <w:szCs w:val="18"/>
              </w:rPr>
              <w:t>692</w:t>
            </w:r>
          </w:p>
        </w:tc>
      </w:tr>
      <w:tr w:rsidR="00B35E74" w:rsidRPr="00ED6DA5" w14:paraId="17A5F590" w14:textId="77777777" w:rsidTr="00C95771">
        <w:trPr>
          <w:trHeight w:val="237"/>
        </w:trPr>
        <w:tc>
          <w:tcPr>
            <w:tcW w:w="2927" w:type="dxa"/>
            <w:tcBorders>
              <w:bottom w:val="single" w:sz="18" w:space="0" w:color="auto"/>
              <w:right w:val="single" w:sz="4" w:space="0" w:color="auto"/>
            </w:tcBorders>
            <w:hideMark/>
          </w:tcPr>
          <w:p w14:paraId="5D652067" w14:textId="77777777" w:rsidR="00B35E74" w:rsidRPr="00ED6DA5" w:rsidRDefault="00B35E74" w:rsidP="006A7962">
            <w:pPr>
              <w:ind w:right="-426"/>
              <w:rPr>
                <w:rFonts w:ascii="Calibri Light" w:eastAsia="Times New Roman" w:hAnsi="Calibri Light" w:cs="Arial"/>
                <w:i/>
                <w:iCs/>
                <w:sz w:val="18"/>
                <w:szCs w:val="18"/>
              </w:rPr>
            </w:pPr>
            <w:r w:rsidRPr="00ED6DA5">
              <w:rPr>
                <w:rFonts w:ascii="Calibri Light" w:hAnsi="Calibri Light"/>
                <w:i/>
                <w:sz w:val="18"/>
                <w:szCs w:val="18"/>
              </w:rPr>
              <w:t>Presubgenual</w:t>
            </w:r>
            <w:r w:rsidRPr="00ED6DA5">
              <w:rPr>
                <w:rFonts w:ascii="Calibri Light" w:eastAsia="Times New Roman" w:hAnsi="Calibri Light" w:cs="Arial"/>
                <w:i/>
                <w:iCs/>
                <w:sz w:val="18"/>
                <w:szCs w:val="18"/>
              </w:rPr>
              <w:t xml:space="preserve"> ACC </w:t>
            </w:r>
          </w:p>
        </w:tc>
        <w:tc>
          <w:tcPr>
            <w:tcW w:w="827" w:type="dxa"/>
            <w:tcBorders>
              <w:left w:val="single" w:sz="4" w:space="0" w:color="auto"/>
              <w:bottom w:val="single" w:sz="18" w:space="0" w:color="auto"/>
            </w:tcBorders>
            <w:noWrap/>
            <w:hideMark/>
          </w:tcPr>
          <w:p w14:paraId="0B98EC1C" w14:textId="0AE75BEB" w:rsidR="00B35E74" w:rsidRPr="00ED6DA5" w:rsidRDefault="00B35E74" w:rsidP="00F609B5">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w:t>
            </w:r>
            <w:r w:rsidR="00F609B5">
              <w:rPr>
                <w:rFonts w:ascii="Calibri Light" w:eastAsia="Times New Roman" w:hAnsi="Calibri Light" w:cs="Arial"/>
                <w:sz w:val="18"/>
                <w:szCs w:val="18"/>
              </w:rPr>
              <w:t>40</w:t>
            </w:r>
          </w:p>
        </w:tc>
        <w:tc>
          <w:tcPr>
            <w:tcW w:w="815" w:type="dxa"/>
            <w:tcBorders>
              <w:bottom w:val="single" w:sz="18" w:space="0" w:color="auto"/>
            </w:tcBorders>
            <w:noWrap/>
            <w:hideMark/>
          </w:tcPr>
          <w:p w14:paraId="04A695BD"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0.19</w:t>
            </w:r>
          </w:p>
        </w:tc>
        <w:tc>
          <w:tcPr>
            <w:tcW w:w="856" w:type="dxa"/>
            <w:tcBorders>
              <w:bottom w:val="single" w:sz="18" w:space="0" w:color="auto"/>
            </w:tcBorders>
            <w:noWrap/>
            <w:hideMark/>
          </w:tcPr>
          <w:p w14:paraId="05CB238B" w14:textId="77777777" w:rsidR="00B35E74" w:rsidRPr="00ED6DA5" w:rsidRDefault="00B35E74" w:rsidP="006A7962">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0.52</w:t>
            </w:r>
          </w:p>
        </w:tc>
        <w:tc>
          <w:tcPr>
            <w:tcW w:w="798" w:type="dxa"/>
            <w:tcBorders>
              <w:bottom w:val="single" w:sz="18" w:space="0" w:color="auto"/>
            </w:tcBorders>
            <w:noWrap/>
            <w:hideMark/>
          </w:tcPr>
          <w:p w14:paraId="5D1F4198" w14:textId="77777777" w:rsidR="00B35E74" w:rsidRPr="00ED6DA5" w:rsidRDefault="00B35E74" w:rsidP="006A7962">
            <w:pPr>
              <w:rPr>
                <w:rFonts w:ascii="Calibri Light" w:eastAsia="Times New Roman" w:hAnsi="Calibri Light" w:cs="Arial"/>
                <w:sz w:val="18"/>
                <w:szCs w:val="18"/>
              </w:rPr>
            </w:pPr>
            <w:r w:rsidRPr="00ED6DA5">
              <w:rPr>
                <w:rFonts w:ascii="Calibri Light" w:eastAsia="Times New Roman" w:hAnsi="Calibri Light" w:cs="Arial"/>
                <w:sz w:val="18"/>
                <w:szCs w:val="18"/>
              </w:rPr>
              <w:t>0.14</w:t>
            </w:r>
          </w:p>
        </w:tc>
        <w:tc>
          <w:tcPr>
            <w:tcW w:w="1108" w:type="dxa"/>
            <w:tcBorders>
              <w:bottom w:val="single" w:sz="18" w:space="0" w:color="auto"/>
            </w:tcBorders>
            <w:noWrap/>
            <w:hideMark/>
          </w:tcPr>
          <w:p w14:paraId="1324439B" w14:textId="5A1B7788" w:rsidR="00B35E74" w:rsidRPr="00ED6DA5" w:rsidRDefault="00B35E74" w:rsidP="006A7962">
            <w:pPr>
              <w:jc w:val="right"/>
              <w:rPr>
                <w:rFonts w:ascii="Calibri Light" w:eastAsia="Times New Roman" w:hAnsi="Calibri Light" w:cs="Arial"/>
                <w:sz w:val="18"/>
                <w:szCs w:val="18"/>
                <w:vertAlign w:val="superscript"/>
              </w:rPr>
            </w:pPr>
            <w:r w:rsidRPr="00ED6DA5">
              <w:rPr>
                <w:rFonts w:ascii="Calibri Light" w:eastAsia="Times New Roman" w:hAnsi="Calibri Light" w:cs="Arial"/>
                <w:sz w:val="18"/>
                <w:szCs w:val="18"/>
              </w:rPr>
              <w:t>.</w:t>
            </w:r>
            <w:r w:rsidR="00F25C03">
              <w:rPr>
                <w:rFonts w:ascii="Calibri Light" w:eastAsia="Times New Roman" w:hAnsi="Calibri Light" w:cs="Arial"/>
                <w:sz w:val="18"/>
                <w:szCs w:val="18"/>
              </w:rPr>
              <w:t>4.00.</w:t>
            </w:r>
            <w:r w:rsidRPr="00ED6DA5">
              <w:rPr>
                <w:rFonts w:ascii="Calibri Light" w:eastAsia="Times New Roman" w:hAnsi="Calibri Light" w:cs="Arial"/>
                <w:sz w:val="18"/>
                <w:szCs w:val="18"/>
                <w:vertAlign w:val="superscript"/>
              </w:rPr>
              <w:t>c</w:t>
            </w:r>
          </w:p>
        </w:tc>
        <w:tc>
          <w:tcPr>
            <w:tcW w:w="1341" w:type="dxa"/>
            <w:tcBorders>
              <w:bottom w:val="single" w:sz="18" w:space="0" w:color="auto"/>
            </w:tcBorders>
            <w:noWrap/>
            <w:hideMark/>
          </w:tcPr>
          <w:p w14:paraId="71424D8C" w14:textId="6AC5756B" w:rsidR="00B35E74" w:rsidRPr="00ED6DA5" w:rsidRDefault="00B35E74" w:rsidP="00C95771">
            <w:pPr>
              <w:jc w:val="right"/>
              <w:rPr>
                <w:rFonts w:ascii="Calibri Light" w:eastAsia="Times New Roman" w:hAnsi="Calibri Light" w:cs="Arial"/>
                <w:sz w:val="18"/>
                <w:szCs w:val="18"/>
              </w:rPr>
            </w:pPr>
            <w:r w:rsidRPr="00ED6DA5">
              <w:rPr>
                <w:rFonts w:ascii="Calibri Light" w:eastAsia="Times New Roman" w:hAnsi="Calibri Light" w:cs="Arial"/>
                <w:sz w:val="18"/>
                <w:szCs w:val="18"/>
              </w:rPr>
              <w:t>0.</w:t>
            </w:r>
            <w:r w:rsidR="00F25C03">
              <w:rPr>
                <w:rFonts w:ascii="Calibri Light" w:eastAsia="Times New Roman" w:hAnsi="Calibri Light" w:cs="Arial"/>
                <w:sz w:val="18"/>
                <w:szCs w:val="18"/>
              </w:rPr>
              <w:t>055</w:t>
            </w:r>
          </w:p>
        </w:tc>
      </w:tr>
    </w:tbl>
    <w:p w14:paraId="54CA58F9" w14:textId="2A206B7B" w:rsidR="00B35E74" w:rsidRPr="00ED6DA5" w:rsidRDefault="00B35E74" w:rsidP="00B35E74">
      <w:pPr>
        <w:rPr>
          <w:rFonts w:ascii="Calibri Light" w:eastAsia="Calibri" w:hAnsi="Calibri Light"/>
          <w:color w:val="000000" w:themeColor="text1"/>
          <w:sz w:val="18"/>
          <w:szCs w:val="18"/>
        </w:rPr>
      </w:pPr>
      <w:r w:rsidRPr="00ED6DA5">
        <w:rPr>
          <w:rFonts w:ascii="Calibri Light" w:eastAsia="Times New Roman" w:hAnsi="Calibri Light"/>
          <w:color w:val="000000" w:themeColor="text1"/>
          <w:sz w:val="18"/>
          <w:szCs w:val="18"/>
        </w:rPr>
        <w:t>**p&lt;0.0</w:t>
      </w:r>
      <w:r w:rsidR="00C95771">
        <w:rPr>
          <w:rFonts w:ascii="Calibri Light" w:eastAsia="Times New Roman" w:hAnsi="Calibri Light"/>
          <w:color w:val="000000" w:themeColor="text1"/>
          <w:sz w:val="18"/>
          <w:szCs w:val="18"/>
        </w:rPr>
        <w:t>06</w:t>
      </w:r>
      <w:r w:rsidRPr="00ED6DA5">
        <w:rPr>
          <w:rFonts w:ascii="Calibri Light" w:eastAsia="Times New Roman" w:hAnsi="Calibri Light"/>
          <w:color w:val="000000" w:themeColor="text1"/>
          <w:sz w:val="18"/>
          <w:szCs w:val="18"/>
        </w:rPr>
        <w:t xml:space="preserve"> survived Bonferroni correction for multiple testing in 9 ROIs (p=0.05/9=0.006) c=F-test</w:t>
      </w:r>
      <w:r w:rsidR="00C95771">
        <w:rPr>
          <w:rFonts w:ascii="Calibri Light" w:eastAsia="Times New Roman" w:hAnsi="Calibri Light"/>
          <w:color w:val="000000" w:themeColor="text1"/>
          <w:sz w:val="18"/>
          <w:szCs w:val="18"/>
        </w:rPr>
        <w:t>;</w:t>
      </w:r>
      <w:r w:rsidRPr="00ED6DA5">
        <w:rPr>
          <w:rFonts w:ascii="Calibri Light" w:eastAsia="Times New Roman" w:hAnsi="Calibri Light"/>
          <w:color w:val="000000" w:themeColor="text1"/>
          <w:sz w:val="18"/>
          <w:szCs w:val="18"/>
        </w:rPr>
        <w:t xml:space="preserve"> HC=healthy controls</w:t>
      </w:r>
      <w:r w:rsidRPr="00ED6DA5">
        <w:rPr>
          <w:rFonts w:ascii="Calibri Light" w:eastAsia="Calibri" w:hAnsi="Calibri Light"/>
          <w:color w:val="000000" w:themeColor="text1"/>
          <w:sz w:val="18"/>
          <w:szCs w:val="18"/>
        </w:rPr>
        <w:t>; PFC=prefrontal cortex; OFC=orbitofrontal cortex; ACC=anterior cingulate cortex.</w:t>
      </w:r>
    </w:p>
    <w:p w14:paraId="71C4231E" w14:textId="77777777" w:rsidR="00B35E74" w:rsidRPr="00ED6DA5" w:rsidRDefault="00B35E74" w:rsidP="00B35E74">
      <w:pPr>
        <w:rPr>
          <w:rFonts w:ascii="Calibri" w:eastAsia="Times New Roman" w:hAnsi="Calibri"/>
          <w:b/>
          <w:color w:val="000000" w:themeColor="text1"/>
          <w:sz w:val="20"/>
          <w:szCs w:val="20"/>
        </w:rPr>
      </w:pPr>
    </w:p>
    <w:p w14:paraId="0C842DDD" w14:textId="77777777" w:rsidR="00B35E74" w:rsidRPr="00ED6DA5" w:rsidRDefault="00B35E74" w:rsidP="00B35E74">
      <w:pPr>
        <w:rPr>
          <w:rFonts w:ascii="Calibri" w:eastAsia="Times New Roman" w:hAnsi="Calibri"/>
          <w:b/>
          <w:color w:val="000000" w:themeColor="text1"/>
          <w:sz w:val="20"/>
          <w:szCs w:val="20"/>
        </w:rPr>
      </w:pPr>
    </w:p>
    <w:p w14:paraId="45E0236B" w14:textId="10CDB5BF" w:rsidR="00B35E74" w:rsidRPr="00ED6DA5" w:rsidRDefault="00B35E74" w:rsidP="00B35E74">
      <w:pPr>
        <w:rPr>
          <w:rFonts w:ascii="Arial" w:eastAsia="Times New Roman" w:hAnsi="Arial" w:cs="Arial"/>
          <w:b/>
          <w:color w:val="000000" w:themeColor="text1"/>
          <w:sz w:val="20"/>
          <w:szCs w:val="20"/>
        </w:rPr>
      </w:pPr>
      <w:r w:rsidRPr="00ED6DA5">
        <w:rPr>
          <w:rFonts w:ascii="Arial" w:eastAsia="Times New Roman" w:hAnsi="Arial" w:cs="Arial"/>
          <w:b/>
          <w:color w:val="000000" w:themeColor="text1"/>
          <w:sz w:val="20"/>
          <w:szCs w:val="20"/>
        </w:rPr>
        <w:t xml:space="preserve">Supplementary Figure </w:t>
      </w:r>
      <w:r w:rsidR="009919BF">
        <w:rPr>
          <w:rFonts w:ascii="Arial" w:eastAsia="Times New Roman" w:hAnsi="Arial" w:cs="Arial"/>
          <w:b/>
          <w:color w:val="000000" w:themeColor="text1"/>
          <w:sz w:val="20"/>
          <w:szCs w:val="20"/>
        </w:rPr>
        <w:t>3</w:t>
      </w:r>
      <w:r w:rsidRPr="00ED6DA5">
        <w:rPr>
          <w:rFonts w:ascii="Arial" w:eastAsia="Times New Roman" w:hAnsi="Arial" w:cs="Arial"/>
          <w:b/>
          <w:color w:val="000000" w:themeColor="text1"/>
          <w:sz w:val="20"/>
          <w:szCs w:val="20"/>
        </w:rPr>
        <w:t xml:space="preserve">: </w:t>
      </w:r>
      <w:r w:rsidRPr="00ED6DA5">
        <w:rPr>
          <w:rFonts w:ascii="Arial" w:eastAsia="Times New Roman" w:hAnsi="Arial" w:cs="Arial"/>
          <w:color w:val="000000" w:themeColor="text1"/>
          <w:sz w:val="20"/>
          <w:szCs w:val="20"/>
        </w:rPr>
        <w:t>Binding potential (BP</w:t>
      </w:r>
      <w:r w:rsidRPr="00ED6DA5">
        <w:rPr>
          <w:rFonts w:ascii="Arial" w:eastAsia="Times New Roman" w:hAnsi="Arial" w:cs="Arial"/>
          <w:color w:val="000000" w:themeColor="text1"/>
          <w:sz w:val="20"/>
          <w:szCs w:val="20"/>
          <w:vertAlign w:val="subscript"/>
        </w:rPr>
        <w:t>ND</w:t>
      </w:r>
      <w:r w:rsidRPr="00ED6DA5">
        <w:rPr>
          <w:rFonts w:ascii="Arial" w:eastAsia="Times New Roman" w:hAnsi="Arial" w:cs="Arial"/>
          <w:color w:val="000000" w:themeColor="text1"/>
          <w:sz w:val="20"/>
          <w:szCs w:val="20"/>
        </w:rPr>
        <w:t xml:space="preserve">) per sub-region of interest (ROI) </w:t>
      </w:r>
    </w:p>
    <w:p w14:paraId="42BB9930" w14:textId="343681FB" w:rsidR="00B35E74" w:rsidRDefault="00B35E74" w:rsidP="00B35E74">
      <w:pPr>
        <w:rPr>
          <w:rFonts w:ascii="Arial" w:eastAsia="Calibri" w:hAnsi="Arial" w:cs="Arial"/>
          <w:color w:val="000000" w:themeColor="text1"/>
          <w:sz w:val="18"/>
          <w:szCs w:val="18"/>
        </w:rPr>
      </w:pPr>
    </w:p>
    <w:p w14:paraId="1533F1CF" w14:textId="674207B4" w:rsidR="00AE0854" w:rsidRDefault="00AE0854" w:rsidP="00B35E74">
      <w:pPr>
        <w:rPr>
          <w:rFonts w:ascii="Arial" w:eastAsia="Calibri" w:hAnsi="Arial" w:cs="Arial"/>
          <w:color w:val="000000" w:themeColor="text1"/>
          <w:sz w:val="18"/>
          <w:szCs w:val="18"/>
        </w:rPr>
      </w:pPr>
    </w:p>
    <w:p w14:paraId="6B2E70BC" w14:textId="0F52BEE7" w:rsidR="00AE0854" w:rsidRDefault="00AE0854" w:rsidP="00B35E74">
      <w:pPr>
        <w:rPr>
          <w:rFonts w:ascii="Arial" w:eastAsia="Calibri" w:hAnsi="Arial" w:cs="Arial"/>
          <w:color w:val="000000" w:themeColor="text1"/>
          <w:sz w:val="18"/>
          <w:szCs w:val="18"/>
        </w:rPr>
      </w:pPr>
    </w:p>
    <w:p w14:paraId="747269D3" w14:textId="50A7DE5D" w:rsidR="00AE0854" w:rsidRPr="00ED6DA5" w:rsidRDefault="00AE0854" w:rsidP="00B35E74">
      <w:pPr>
        <w:rPr>
          <w:rFonts w:ascii="Arial" w:eastAsia="Calibri" w:hAnsi="Arial" w:cs="Arial"/>
          <w:color w:val="000000" w:themeColor="text1"/>
          <w:sz w:val="18"/>
          <w:szCs w:val="18"/>
        </w:rPr>
      </w:pPr>
      <w:r w:rsidRPr="00C95771">
        <w:rPr>
          <w:rFonts w:ascii="Arial" w:eastAsia="Calibri" w:hAnsi="Arial" w:cs="Arial"/>
          <w:noProof/>
          <w:color w:val="000000" w:themeColor="text1"/>
          <w:sz w:val="18"/>
          <w:szCs w:val="18"/>
          <w:lang w:val="nl-NL" w:eastAsia="nl-NL"/>
        </w:rPr>
        <w:drawing>
          <wp:inline distT="0" distB="0" distL="0" distR="0" wp14:anchorId="56DAAF27" wp14:editId="7B0A2E87">
            <wp:extent cx="5267325" cy="3286125"/>
            <wp:effectExtent l="0" t="0" r="9525" b="9525"/>
            <wp:docPr id="1" name="Afbeelding 1" descr="\\amc.intra\users\W\wmvingerhoets\home\Desktop\Figure Es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intra\users\W\wmvingerhoets\home\Desktop\Figure Esth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14:paraId="31F08DB2" w14:textId="77777777" w:rsidR="00B35E74" w:rsidRPr="00ED6DA5" w:rsidRDefault="00B35E74" w:rsidP="00B35E74">
      <w:pPr>
        <w:rPr>
          <w:rFonts w:ascii="Arial" w:hAnsi="Arial" w:cs="Arial"/>
          <w:b/>
          <w:color w:val="000000" w:themeColor="text1"/>
        </w:rPr>
      </w:pPr>
    </w:p>
    <w:p w14:paraId="7478B589" w14:textId="632879EC" w:rsidR="00B35E74" w:rsidRPr="00ED6DA5" w:rsidRDefault="00B35E74" w:rsidP="00B35E74">
      <w:pPr>
        <w:jc w:val="both"/>
        <w:rPr>
          <w:rFonts w:ascii="Arial" w:eastAsia="Calibri" w:hAnsi="Arial" w:cs="Arial"/>
          <w:color w:val="000000" w:themeColor="text1"/>
          <w:sz w:val="16"/>
          <w:szCs w:val="16"/>
        </w:rPr>
      </w:pPr>
      <w:r w:rsidRPr="00ED6DA5">
        <w:rPr>
          <w:rFonts w:ascii="Arial" w:hAnsi="Arial" w:cs="Arial"/>
          <w:color w:val="000000" w:themeColor="text1"/>
          <w:sz w:val="16"/>
          <w:szCs w:val="16"/>
        </w:rPr>
        <w:t>Average dopamine D</w:t>
      </w:r>
      <w:r w:rsidRPr="00ED6DA5">
        <w:rPr>
          <w:rFonts w:ascii="Arial" w:hAnsi="Arial" w:cs="Arial"/>
          <w:color w:val="000000" w:themeColor="text1"/>
          <w:sz w:val="16"/>
          <w:szCs w:val="16"/>
          <w:vertAlign w:val="subscript"/>
        </w:rPr>
        <w:t>2/3</w:t>
      </w:r>
      <w:r w:rsidRPr="00ED6DA5">
        <w:rPr>
          <w:rFonts w:ascii="Arial" w:hAnsi="Arial" w:cs="Arial"/>
          <w:color w:val="000000" w:themeColor="text1"/>
          <w:sz w:val="16"/>
          <w:szCs w:val="16"/>
        </w:rPr>
        <w:t xml:space="preserve"> receptor binding potential (D</w:t>
      </w:r>
      <w:r w:rsidRPr="00ED6DA5">
        <w:rPr>
          <w:rFonts w:ascii="Arial" w:hAnsi="Arial" w:cs="Arial"/>
          <w:color w:val="000000" w:themeColor="text1"/>
          <w:sz w:val="16"/>
          <w:szCs w:val="16"/>
          <w:vertAlign w:val="subscript"/>
        </w:rPr>
        <w:t>2/3</w:t>
      </w:r>
      <w:r w:rsidRPr="00ED6DA5">
        <w:rPr>
          <w:rFonts w:ascii="Arial" w:hAnsi="Arial" w:cs="Arial"/>
          <w:color w:val="000000" w:themeColor="text1"/>
          <w:sz w:val="16"/>
          <w:szCs w:val="16"/>
        </w:rPr>
        <w:t>R</w:t>
      </w:r>
      <w:r w:rsidRPr="00ED6DA5">
        <w:rPr>
          <w:rFonts w:ascii="Arial" w:hAnsi="Arial" w:cs="Arial"/>
          <w:color w:val="000000" w:themeColor="text1"/>
          <w:position w:val="-3"/>
          <w:sz w:val="16"/>
          <w:szCs w:val="16"/>
        </w:rPr>
        <w:t xml:space="preserve"> </w:t>
      </w:r>
      <w:r w:rsidRPr="00ED6DA5">
        <w:rPr>
          <w:rFonts w:ascii="Arial" w:hAnsi="Arial" w:cs="Arial"/>
          <w:color w:val="000000" w:themeColor="text1"/>
          <w:sz w:val="16"/>
          <w:szCs w:val="16"/>
        </w:rPr>
        <w:t>BP</w:t>
      </w:r>
      <w:r w:rsidRPr="00ED6DA5">
        <w:rPr>
          <w:rFonts w:ascii="Arial" w:hAnsi="Arial" w:cs="Arial"/>
          <w:color w:val="000000" w:themeColor="text1"/>
          <w:sz w:val="16"/>
          <w:szCs w:val="16"/>
          <w:vertAlign w:val="subscript"/>
        </w:rPr>
        <w:t>ND</w:t>
      </w:r>
      <w:r w:rsidRPr="00ED6DA5">
        <w:rPr>
          <w:rFonts w:ascii="Arial" w:hAnsi="Arial" w:cs="Arial"/>
          <w:color w:val="000000" w:themeColor="text1"/>
          <w:sz w:val="16"/>
          <w:szCs w:val="16"/>
        </w:rPr>
        <w:t xml:space="preserve">) (y-axis) in the subregions of the </w:t>
      </w:r>
      <w:r w:rsidRPr="00ED6DA5">
        <w:rPr>
          <w:rFonts w:ascii="Arial" w:eastAsia="Calibri" w:hAnsi="Arial" w:cs="Arial"/>
          <w:color w:val="000000" w:themeColor="text1"/>
          <w:sz w:val="16"/>
          <w:szCs w:val="16"/>
        </w:rPr>
        <w:t xml:space="preserve">prefrontal cortex (PFC), the orbitofrontal cortex (OFC) and the anterior cingulate cortex (ACC) (x-axis). The healthy control (HC) group is depicted in grey and the 22q11DS group in white. </w:t>
      </w:r>
      <w:r w:rsidR="00DD19DD">
        <w:rPr>
          <w:rFonts w:ascii="Arial" w:eastAsia="Calibri" w:hAnsi="Arial" w:cs="Arial"/>
          <w:color w:val="000000" w:themeColor="text1"/>
          <w:sz w:val="16"/>
          <w:szCs w:val="16"/>
        </w:rPr>
        <w:t>After Bonferroni correction, m</w:t>
      </w:r>
      <w:r w:rsidRPr="00ED6DA5">
        <w:rPr>
          <w:rFonts w:ascii="Arial" w:eastAsia="Calibri" w:hAnsi="Arial" w:cs="Arial"/>
          <w:color w:val="000000" w:themeColor="text1"/>
          <w:sz w:val="16"/>
          <w:szCs w:val="16"/>
        </w:rPr>
        <w:t xml:space="preserve">ean </w:t>
      </w:r>
      <w:r w:rsidRPr="00ED6DA5">
        <w:rPr>
          <w:rFonts w:ascii="Arial" w:hAnsi="Arial" w:cs="Arial"/>
          <w:color w:val="000000" w:themeColor="text1"/>
          <w:sz w:val="16"/>
          <w:szCs w:val="16"/>
        </w:rPr>
        <w:t>D</w:t>
      </w:r>
      <w:r w:rsidRPr="00ED6DA5">
        <w:rPr>
          <w:rFonts w:ascii="Arial" w:hAnsi="Arial" w:cs="Arial"/>
          <w:color w:val="000000" w:themeColor="text1"/>
          <w:sz w:val="16"/>
          <w:szCs w:val="16"/>
          <w:vertAlign w:val="subscript"/>
        </w:rPr>
        <w:t>2/3</w:t>
      </w:r>
      <w:r w:rsidRPr="00ED6DA5">
        <w:rPr>
          <w:rFonts w:ascii="Arial" w:hAnsi="Arial" w:cs="Arial"/>
          <w:color w:val="000000" w:themeColor="text1"/>
          <w:sz w:val="16"/>
          <w:szCs w:val="16"/>
        </w:rPr>
        <w:t>R</w:t>
      </w:r>
      <w:r w:rsidRPr="00ED6DA5">
        <w:rPr>
          <w:rFonts w:ascii="Arial" w:hAnsi="Arial" w:cs="Arial"/>
          <w:color w:val="000000" w:themeColor="text1"/>
          <w:position w:val="-3"/>
          <w:sz w:val="16"/>
          <w:szCs w:val="16"/>
        </w:rPr>
        <w:t xml:space="preserve"> </w:t>
      </w:r>
      <w:r w:rsidRPr="00ED6DA5">
        <w:rPr>
          <w:rFonts w:ascii="Arial" w:hAnsi="Arial" w:cs="Arial"/>
          <w:color w:val="000000" w:themeColor="text1"/>
          <w:sz w:val="16"/>
          <w:szCs w:val="16"/>
        </w:rPr>
        <w:t>BP</w:t>
      </w:r>
      <w:r w:rsidRPr="00ED6DA5">
        <w:rPr>
          <w:rFonts w:ascii="Arial" w:hAnsi="Arial" w:cs="Arial"/>
          <w:color w:val="000000" w:themeColor="text1"/>
          <w:sz w:val="16"/>
          <w:szCs w:val="16"/>
          <w:vertAlign w:val="subscript"/>
        </w:rPr>
        <w:t xml:space="preserve">ND </w:t>
      </w:r>
      <w:r w:rsidRPr="00ED6DA5">
        <w:rPr>
          <w:rFonts w:ascii="Arial" w:hAnsi="Arial" w:cs="Arial"/>
          <w:color w:val="000000" w:themeColor="text1"/>
          <w:sz w:val="16"/>
          <w:szCs w:val="16"/>
        </w:rPr>
        <w:t>was significantly (**) lower in the 22q11DS group</w:t>
      </w:r>
      <w:r w:rsidRPr="00ED6DA5">
        <w:rPr>
          <w:rFonts w:ascii="Arial" w:hAnsi="Arial" w:cs="Arial"/>
          <w:color w:val="000000" w:themeColor="text1"/>
          <w:sz w:val="16"/>
          <w:szCs w:val="16"/>
          <w:vertAlign w:val="subscript"/>
        </w:rPr>
        <w:t xml:space="preserve"> </w:t>
      </w:r>
      <w:r w:rsidRPr="00ED6DA5">
        <w:rPr>
          <w:rFonts w:ascii="Arial" w:eastAsia="Calibri" w:hAnsi="Arial" w:cs="Arial"/>
          <w:color w:val="000000" w:themeColor="text1"/>
          <w:sz w:val="16"/>
          <w:szCs w:val="16"/>
        </w:rPr>
        <w:t xml:space="preserve">compared to the HC group in </w:t>
      </w:r>
      <w:r w:rsidR="00DD19DD">
        <w:rPr>
          <w:rFonts w:ascii="Arial" w:eastAsia="Calibri" w:hAnsi="Arial" w:cs="Arial"/>
          <w:color w:val="000000" w:themeColor="text1"/>
          <w:sz w:val="16"/>
          <w:szCs w:val="16"/>
        </w:rPr>
        <w:t xml:space="preserve">one </w:t>
      </w:r>
      <w:proofErr w:type="spellStart"/>
      <w:r w:rsidR="00DD19DD">
        <w:rPr>
          <w:rFonts w:ascii="Arial" w:eastAsia="Calibri" w:hAnsi="Arial" w:cs="Arial"/>
          <w:color w:val="000000" w:themeColor="text1"/>
          <w:sz w:val="16"/>
          <w:szCs w:val="16"/>
        </w:rPr>
        <w:t>subregion</w:t>
      </w:r>
      <w:proofErr w:type="spellEnd"/>
      <w:r w:rsidR="00DD19DD">
        <w:rPr>
          <w:rFonts w:ascii="Arial" w:eastAsia="Calibri" w:hAnsi="Arial" w:cs="Arial"/>
          <w:color w:val="000000" w:themeColor="text1"/>
          <w:sz w:val="16"/>
          <w:szCs w:val="16"/>
        </w:rPr>
        <w:t xml:space="preserve"> of the OFC (anterior orbital gyrus)</w:t>
      </w:r>
      <w:r w:rsidRPr="00ED6DA5">
        <w:rPr>
          <w:rFonts w:ascii="Arial" w:eastAsia="Calibri" w:hAnsi="Arial" w:cs="Arial"/>
          <w:color w:val="000000" w:themeColor="text1"/>
          <w:sz w:val="16"/>
          <w:szCs w:val="16"/>
        </w:rPr>
        <w:t>.</w:t>
      </w:r>
    </w:p>
    <w:p w14:paraId="55D93ABC" w14:textId="2B5D2895" w:rsidR="00B35E74" w:rsidRPr="00ED6DA5" w:rsidRDefault="00B35E74" w:rsidP="00B35E74">
      <w:pPr>
        <w:rPr>
          <w:rFonts w:ascii="Arial" w:hAnsi="Arial" w:cs="Arial"/>
          <w:b/>
          <w:color w:val="000000" w:themeColor="text1"/>
          <w:sz w:val="16"/>
          <w:szCs w:val="16"/>
        </w:rPr>
      </w:pPr>
      <w:r w:rsidRPr="00ED6DA5">
        <w:rPr>
          <w:rFonts w:ascii="Arial" w:eastAsia="Calibri" w:hAnsi="Arial" w:cs="Arial"/>
          <w:color w:val="000000" w:themeColor="text1"/>
          <w:sz w:val="16"/>
          <w:szCs w:val="16"/>
        </w:rPr>
        <w:t xml:space="preserve">Error bars represent standard deviation’s (SD’s). </w:t>
      </w:r>
      <w:r w:rsidRPr="00ED6DA5">
        <w:rPr>
          <w:rFonts w:ascii="Arial" w:eastAsia="Times New Roman" w:hAnsi="Arial" w:cs="Arial"/>
          <w:color w:val="000000" w:themeColor="text1"/>
          <w:sz w:val="16"/>
          <w:szCs w:val="16"/>
        </w:rPr>
        <w:t>**p&lt;0.0</w:t>
      </w:r>
      <w:r w:rsidR="0038599A">
        <w:rPr>
          <w:rFonts w:ascii="Arial" w:eastAsia="Times New Roman" w:hAnsi="Arial" w:cs="Arial"/>
          <w:color w:val="000000" w:themeColor="text1"/>
          <w:sz w:val="16"/>
          <w:szCs w:val="16"/>
        </w:rPr>
        <w:t>06</w:t>
      </w:r>
      <w:r w:rsidRPr="00ED6DA5">
        <w:rPr>
          <w:rFonts w:ascii="Arial" w:eastAsia="Times New Roman" w:hAnsi="Arial" w:cs="Arial"/>
          <w:color w:val="000000" w:themeColor="text1"/>
          <w:sz w:val="16"/>
          <w:szCs w:val="16"/>
        </w:rPr>
        <w:t xml:space="preserve"> survived Bonferroni correction for multiple testing HC= healthy controls. </w:t>
      </w:r>
    </w:p>
    <w:p w14:paraId="09AF22C8" w14:textId="77777777" w:rsidR="00B35E74" w:rsidRPr="00ED6DA5" w:rsidRDefault="00B35E74" w:rsidP="00B35E74">
      <w:pPr>
        <w:rPr>
          <w:rFonts w:ascii="Calibri Light" w:eastAsia="Times New Roman" w:hAnsi="Calibri Light"/>
          <w:color w:val="000000" w:themeColor="text1"/>
          <w:sz w:val="16"/>
          <w:szCs w:val="16"/>
        </w:rPr>
      </w:pPr>
      <w:r w:rsidRPr="00ED6DA5">
        <w:rPr>
          <w:rFonts w:ascii="Calibri Light" w:eastAsia="Calibri" w:hAnsi="Calibri Light"/>
          <w:color w:val="000000" w:themeColor="text1"/>
          <w:sz w:val="16"/>
          <w:szCs w:val="16"/>
        </w:rPr>
        <w:lastRenderedPageBreak/>
        <w:t xml:space="preserve"> </w:t>
      </w:r>
    </w:p>
    <w:p w14:paraId="1ED5F606" w14:textId="77777777" w:rsidR="00B35E74" w:rsidRPr="00ED6DA5" w:rsidRDefault="00B35E74" w:rsidP="00B35E74">
      <w:pPr>
        <w:jc w:val="both"/>
        <w:rPr>
          <w:rFonts w:ascii="Calibri Light" w:eastAsia="Times New Roman" w:hAnsi="Calibri Light"/>
          <w:color w:val="000000" w:themeColor="text1"/>
          <w:sz w:val="18"/>
          <w:szCs w:val="18"/>
        </w:rPr>
      </w:pPr>
    </w:p>
    <w:p w14:paraId="4E2E67DF" w14:textId="4182A588" w:rsidR="007A290E" w:rsidRPr="00ED6DA5" w:rsidRDefault="007A290E">
      <w:pPr>
        <w:rPr>
          <w:rFonts w:ascii="Calibri" w:eastAsia="Times New Roman" w:hAnsi="Calibri"/>
          <w:b/>
          <w:color w:val="000000" w:themeColor="text1"/>
          <w:sz w:val="20"/>
          <w:szCs w:val="20"/>
        </w:rPr>
      </w:pPr>
    </w:p>
    <w:p w14:paraId="7872B0E2" w14:textId="0C3FB66B" w:rsidR="007A290E" w:rsidRPr="00ED6DA5" w:rsidRDefault="00B35E74" w:rsidP="005F4460">
      <w:pPr>
        <w:rPr>
          <w:rFonts w:ascii="Calibri" w:eastAsia="Times New Roman" w:hAnsi="Calibri"/>
          <w:b/>
          <w:color w:val="000000" w:themeColor="text1"/>
          <w:sz w:val="22"/>
          <w:szCs w:val="22"/>
        </w:rPr>
      </w:pPr>
      <w:r w:rsidRPr="00ED6DA5">
        <w:rPr>
          <w:rFonts w:ascii="Calibri" w:eastAsia="Times New Roman" w:hAnsi="Calibri"/>
          <w:b/>
          <w:color w:val="000000" w:themeColor="text1"/>
          <w:sz w:val="22"/>
          <w:szCs w:val="22"/>
        </w:rPr>
        <w:t xml:space="preserve">Supplementary Table 2:  </w:t>
      </w:r>
    </w:p>
    <w:tbl>
      <w:tblPr>
        <w:tblStyle w:val="Tabelzonderopmaak5"/>
        <w:tblW w:w="0" w:type="auto"/>
        <w:tblLook w:val="04A0" w:firstRow="1" w:lastRow="0" w:firstColumn="1" w:lastColumn="0" w:noHBand="0" w:noVBand="1"/>
      </w:tblPr>
      <w:tblGrid>
        <w:gridCol w:w="3096"/>
        <w:gridCol w:w="2435"/>
        <w:gridCol w:w="2769"/>
      </w:tblGrid>
      <w:tr w:rsidR="007A290E" w:rsidRPr="00ED6DA5" w14:paraId="651A119D" w14:textId="77777777" w:rsidTr="007A29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96" w:type="dxa"/>
          </w:tcPr>
          <w:p w14:paraId="62F8D81E" w14:textId="77777777" w:rsidR="007A290E" w:rsidRPr="00ED6DA5" w:rsidRDefault="007A290E" w:rsidP="000F1160">
            <w:pPr>
              <w:pStyle w:val="Tekstzonderopmaak"/>
              <w:jc w:val="both"/>
              <w:rPr>
                <w:color w:val="000000" w:themeColor="text1"/>
                <w:sz w:val="20"/>
                <w:szCs w:val="20"/>
                <w:shd w:val="clear" w:color="auto" w:fill="FFFFFF"/>
                <w:lang w:val="en-US"/>
              </w:rPr>
            </w:pPr>
          </w:p>
        </w:tc>
        <w:tc>
          <w:tcPr>
            <w:tcW w:w="2435" w:type="dxa"/>
          </w:tcPr>
          <w:p w14:paraId="7F87E736" w14:textId="77777777" w:rsidR="007A290E" w:rsidRPr="00ED6DA5" w:rsidRDefault="007A290E" w:rsidP="000F1160">
            <w:pPr>
              <w:pStyle w:val="Tekstzonderopmaak"/>
              <w:jc w:val="center"/>
              <w:cnfStyle w:val="100000000000" w:firstRow="1" w:lastRow="0" w:firstColumn="0" w:lastColumn="0" w:oddVBand="0" w:evenVBand="0" w:oddHBand="0" w:evenHBand="0" w:firstRowFirstColumn="0" w:firstRowLastColumn="0" w:lastRowFirstColumn="0" w:lastRowLastColumn="0"/>
              <w:rPr>
                <w:b/>
                <w:color w:val="000000" w:themeColor="text1"/>
                <w:sz w:val="20"/>
                <w:szCs w:val="20"/>
                <w:shd w:val="clear" w:color="auto" w:fill="FFFFFF"/>
                <w:lang w:val="en-US"/>
              </w:rPr>
            </w:pPr>
            <w:r w:rsidRPr="00ED6DA5">
              <w:rPr>
                <w:b/>
                <w:color w:val="000000" w:themeColor="text1"/>
                <w:sz w:val="20"/>
                <w:szCs w:val="20"/>
                <w:shd w:val="clear" w:color="auto" w:fill="FFFFFF"/>
                <w:lang w:val="en-US"/>
              </w:rPr>
              <w:t xml:space="preserve">Control </w:t>
            </w:r>
            <w:r w:rsidRPr="00ED6DA5">
              <w:rPr>
                <w:b/>
                <w:i w:val="0"/>
                <w:color w:val="000000" w:themeColor="text1"/>
                <w:sz w:val="20"/>
                <w:szCs w:val="20"/>
                <w:shd w:val="clear" w:color="auto" w:fill="FFFFFF"/>
                <w:lang w:val="en-US"/>
              </w:rPr>
              <w:t>condition</w:t>
            </w:r>
          </w:p>
        </w:tc>
        <w:tc>
          <w:tcPr>
            <w:tcW w:w="2769" w:type="dxa"/>
          </w:tcPr>
          <w:p w14:paraId="1BBE0D89" w14:textId="77777777" w:rsidR="007A290E" w:rsidRPr="00ED6DA5" w:rsidRDefault="007A290E" w:rsidP="000F1160">
            <w:pPr>
              <w:pStyle w:val="Tekstzonderopmaak"/>
              <w:jc w:val="center"/>
              <w:cnfStyle w:val="100000000000" w:firstRow="1" w:lastRow="0" w:firstColumn="0" w:lastColumn="0" w:oddVBand="0" w:evenVBand="0" w:oddHBand="0" w:evenHBand="0" w:firstRowFirstColumn="0" w:firstRowLastColumn="0" w:lastRowFirstColumn="0" w:lastRowLastColumn="0"/>
              <w:rPr>
                <w:b/>
                <w:color w:val="000000" w:themeColor="text1"/>
                <w:sz w:val="20"/>
                <w:szCs w:val="20"/>
                <w:shd w:val="clear" w:color="auto" w:fill="FFFFFF"/>
                <w:lang w:val="en-US"/>
              </w:rPr>
            </w:pPr>
            <w:r w:rsidRPr="00ED6DA5">
              <w:rPr>
                <w:b/>
                <w:color w:val="000000" w:themeColor="text1"/>
                <w:sz w:val="20"/>
                <w:szCs w:val="20"/>
                <w:shd w:val="clear" w:color="auto" w:fill="FFFFFF"/>
                <w:lang w:val="en-US"/>
              </w:rPr>
              <w:t>Control + baseline</w:t>
            </w:r>
            <w:r w:rsidRPr="00ED6DA5">
              <w:rPr>
                <w:b/>
                <w:i w:val="0"/>
                <w:color w:val="000000" w:themeColor="text1"/>
                <w:sz w:val="20"/>
                <w:szCs w:val="20"/>
                <w:shd w:val="clear" w:color="auto" w:fill="FFFFFF"/>
                <w:lang w:val="en-US"/>
              </w:rPr>
              <w:t xml:space="preserve"> condition</w:t>
            </w:r>
          </w:p>
        </w:tc>
      </w:tr>
      <w:tr w:rsidR="007A290E" w:rsidRPr="00ED6DA5" w14:paraId="5173D7C7" w14:textId="77777777" w:rsidTr="007A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3422B3DD" w14:textId="77777777" w:rsidR="007A290E" w:rsidRPr="00ED6DA5" w:rsidRDefault="007A290E" w:rsidP="000F1160">
            <w:pPr>
              <w:pStyle w:val="Tekstzonderopmaak"/>
              <w:jc w:val="both"/>
              <w:rPr>
                <w:b/>
                <w:color w:val="000000" w:themeColor="text1"/>
                <w:sz w:val="20"/>
                <w:szCs w:val="20"/>
                <w:shd w:val="clear" w:color="auto" w:fill="FFFFFF"/>
                <w:lang w:val="en-US"/>
              </w:rPr>
            </w:pPr>
            <w:r w:rsidRPr="00ED6DA5">
              <w:rPr>
                <w:b/>
                <w:color w:val="000000" w:themeColor="text1"/>
                <w:sz w:val="20"/>
                <w:szCs w:val="20"/>
                <w:shd w:val="clear" w:color="auto" w:fill="FFFFFF"/>
                <w:lang w:val="en-US"/>
              </w:rPr>
              <w:t>MRTM - K</w:t>
            </w:r>
            <w:r w:rsidRPr="00ED6DA5">
              <w:rPr>
                <w:b/>
                <w:color w:val="000000" w:themeColor="text1"/>
                <w:sz w:val="20"/>
                <w:szCs w:val="20"/>
                <w:shd w:val="clear" w:color="auto" w:fill="FFFFFF"/>
                <w:vertAlign w:val="subscript"/>
                <w:lang w:val="en-US"/>
              </w:rPr>
              <w:t>2</w:t>
            </w:r>
            <w:r w:rsidRPr="00ED6DA5">
              <w:rPr>
                <w:b/>
                <w:color w:val="000000" w:themeColor="text1"/>
                <w:sz w:val="20"/>
                <w:szCs w:val="20"/>
                <w:shd w:val="clear" w:color="auto" w:fill="FFFFFF"/>
                <w:lang w:val="en-US"/>
              </w:rPr>
              <w:t>´</w:t>
            </w:r>
          </w:p>
        </w:tc>
        <w:tc>
          <w:tcPr>
            <w:tcW w:w="2435" w:type="dxa"/>
            <w:shd w:val="clear" w:color="auto" w:fill="auto"/>
          </w:tcPr>
          <w:p w14:paraId="325AFA7B"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p>
        </w:tc>
        <w:tc>
          <w:tcPr>
            <w:tcW w:w="2769" w:type="dxa"/>
            <w:shd w:val="clear" w:color="auto" w:fill="auto"/>
          </w:tcPr>
          <w:p w14:paraId="67480850"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p>
        </w:tc>
      </w:tr>
      <w:tr w:rsidR="007A290E" w:rsidRPr="00ED6DA5" w14:paraId="429968CB" w14:textId="77777777" w:rsidTr="007A290E">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6429CAA7" w14:textId="77777777" w:rsidR="007A290E" w:rsidRPr="00ED6DA5" w:rsidRDefault="007A290E" w:rsidP="000F1160">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 xml:space="preserve">    Caudate nucleus</w:t>
            </w:r>
          </w:p>
        </w:tc>
        <w:tc>
          <w:tcPr>
            <w:tcW w:w="2435" w:type="dxa"/>
            <w:shd w:val="clear" w:color="auto" w:fill="auto"/>
          </w:tcPr>
          <w:p w14:paraId="32504EF2"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0.253</w:t>
            </w:r>
          </w:p>
        </w:tc>
        <w:tc>
          <w:tcPr>
            <w:tcW w:w="2769" w:type="dxa"/>
            <w:shd w:val="clear" w:color="auto" w:fill="auto"/>
          </w:tcPr>
          <w:p w14:paraId="4DF1716E"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0.210</w:t>
            </w:r>
          </w:p>
        </w:tc>
      </w:tr>
      <w:tr w:rsidR="007A290E" w:rsidRPr="00ED6DA5" w14:paraId="40B1C095" w14:textId="77777777" w:rsidTr="007A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125619CD" w14:textId="77777777" w:rsidR="007A290E" w:rsidRPr="00ED6DA5" w:rsidRDefault="007A290E" w:rsidP="000F1160">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 xml:space="preserve">    Putamen</w:t>
            </w:r>
          </w:p>
        </w:tc>
        <w:tc>
          <w:tcPr>
            <w:tcW w:w="2435" w:type="dxa"/>
            <w:shd w:val="clear" w:color="auto" w:fill="auto"/>
          </w:tcPr>
          <w:p w14:paraId="0C289016"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0.275</w:t>
            </w:r>
          </w:p>
        </w:tc>
        <w:tc>
          <w:tcPr>
            <w:tcW w:w="2769" w:type="dxa"/>
            <w:shd w:val="clear" w:color="auto" w:fill="auto"/>
          </w:tcPr>
          <w:p w14:paraId="0B2C61D4"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0.235</w:t>
            </w:r>
          </w:p>
        </w:tc>
      </w:tr>
      <w:tr w:rsidR="007A290E" w:rsidRPr="00ED6DA5" w14:paraId="052E8F20" w14:textId="77777777" w:rsidTr="007A290E">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7E35E14D" w14:textId="77777777" w:rsidR="007A290E" w:rsidRPr="00ED6DA5" w:rsidRDefault="007A290E" w:rsidP="000F1160">
            <w:pPr>
              <w:pStyle w:val="Tekstzonderopmaak"/>
              <w:jc w:val="both"/>
              <w:rPr>
                <w:b/>
                <w:color w:val="000000" w:themeColor="text1"/>
                <w:sz w:val="20"/>
                <w:szCs w:val="20"/>
                <w:shd w:val="clear" w:color="auto" w:fill="FFFFFF"/>
                <w:lang w:val="en-US"/>
              </w:rPr>
            </w:pPr>
            <w:r w:rsidRPr="00ED6DA5">
              <w:rPr>
                <w:b/>
                <w:color w:val="000000" w:themeColor="text1"/>
                <w:sz w:val="20"/>
                <w:szCs w:val="20"/>
                <w:shd w:val="clear" w:color="auto" w:fill="FFFFFF"/>
                <w:lang w:val="en-US"/>
              </w:rPr>
              <w:t>MRTM - BP</w:t>
            </w:r>
            <w:r w:rsidRPr="00ED6DA5">
              <w:rPr>
                <w:b/>
                <w:color w:val="000000" w:themeColor="text1"/>
                <w:sz w:val="20"/>
                <w:szCs w:val="20"/>
                <w:shd w:val="clear" w:color="auto" w:fill="FFFFFF"/>
                <w:vertAlign w:val="subscript"/>
                <w:lang w:val="en-US"/>
              </w:rPr>
              <w:t>ND</w:t>
            </w:r>
          </w:p>
        </w:tc>
        <w:tc>
          <w:tcPr>
            <w:tcW w:w="2435" w:type="dxa"/>
            <w:shd w:val="clear" w:color="auto" w:fill="auto"/>
          </w:tcPr>
          <w:p w14:paraId="74114A9E"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p>
        </w:tc>
        <w:tc>
          <w:tcPr>
            <w:tcW w:w="2769" w:type="dxa"/>
            <w:shd w:val="clear" w:color="auto" w:fill="auto"/>
          </w:tcPr>
          <w:p w14:paraId="56689525"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p>
        </w:tc>
      </w:tr>
      <w:tr w:rsidR="007A290E" w:rsidRPr="00ED6DA5" w14:paraId="4E7A2D05" w14:textId="77777777" w:rsidTr="007A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66357A91" w14:textId="77777777" w:rsidR="007A290E" w:rsidRPr="00ED6DA5" w:rsidRDefault="007A290E" w:rsidP="000F1160">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 xml:space="preserve">    Caudate nucleus</w:t>
            </w:r>
          </w:p>
        </w:tc>
        <w:tc>
          <w:tcPr>
            <w:tcW w:w="2435" w:type="dxa"/>
            <w:shd w:val="clear" w:color="auto" w:fill="auto"/>
          </w:tcPr>
          <w:p w14:paraId="2CABF281"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15.52</w:t>
            </w:r>
          </w:p>
        </w:tc>
        <w:tc>
          <w:tcPr>
            <w:tcW w:w="2769" w:type="dxa"/>
            <w:shd w:val="clear" w:color="auto" w:fill="auto"/>
          </w:tcPr>
          <w:p w14:paraId="5B8312EE"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19.05</w:t>
            </w:r>
          </w:p>
        </w:tc>
      </w:tr>
      <w:tr w:rsidR="007A290E" w:rsidRPr="00ED6DA5" w14:paraId="1373E3DA" w14:textId="77777777" w:rsidTr="007A290E">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401DFC9F" w14:textId="77777777" w:rsidR="007A290E" w:rsidRPr="00ED6DA5" w:rsidRDefault="007A290E" w:rsidP="000F1160">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 xml:space="preserve">    Putamen</w:t>
            </w:r>
          </w:p>
        </w:tc>
        <w:tc>
          <w:tcPr>
            <w:tcW w:w="2435" w:type="dxa"/>
            <w:shd w:val="clear" w:color="auto" w:fill="auto"/>
          </w:tcPr>
          <w:p w14:paraId="59713780"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16.94</w:t>
            </w:r>
          </w:p>
        </w:tc>
        <w:tc>
          <w:tcPr>
            <w:tcW w:w="2769" w:type="dxa"/>
            <w:shd w:val="clear" w:color="auto" w:fill="auto"/>
          </w:tcPr>
          <w:p w14:paraId="676B1E3C"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19.93</w:t>
            </w:r>
          </w:p>
        </w:tc>
      </w:tr>
      <w:tr w:rsidR="007A290E" w:rsidRPr="00ED6DA5" w14:paraId="156BC3F6" w14:textId="77777777" w:rsidTr="007A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5FF8E5EE" w14:textId="77777777" w:rsidR="007A290E" w:rsidRPr="00ED6DA5" w:rsidRDefault="007A290E" w:rsidP="000F1160">
            <w:pPr>
              <w:pStyle w:val="Tekstzonderopmaak"/>
              <w:jc w:val="both"/>
              <w:rPr>
                <w:color w:val="000000" w:themeColor="text1"/>
                <w:sz w:val="20"/>
                <w:szCs w:val="20"/>
                <w:shd w:val="clear" w:color="auto" w:fill="FFFFFF"/>
                <w:lang w:val="en-US"/>
              </w:rPr>
            </w:pPr>
          </w:p>
        </w:tc>
        <w:tc>
          <w:tcPr>
            <w:tcW w:w="2435" w:type="dxa"/>
            <w:shd w:val="clear" w:color="auto" w:fill="auto"/>
          </w:tcPr>
          <w:p w14:paraId="6A99BD17"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p>
        </w:tc>
        <w:tc>
          <w:tcPr>
            <w:tcW w:w="2769" w:type="dxa"/>
            <w:shd w:val="clear" w:color="auto" w:fill="auto"/>
          </w:tcPr>
          <w:p w14:paraId="26F80F32"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p>
        </w:tc>
      </w:tr>
      <w:tr w:rsidR="007A290E" w:rsidRPr="00ED6DA5" w14:paraId="05935CD5" w14:textId="77777777" w:rsidTr="007A290E">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62498331" w14:textId="77777777" w:rsidR="007A290E" w:rsidRPr="00ED6DA5" w:rsidRDefault="007A290E" w:rsidP="000F1160">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MRTM2 - K</w:t>
            </w:r>
            <w:r w:rsidRPr="00ED6DA5">
              <w:rPr>
                <w:color w:val="000000" w:themeColor="text1"/>
                <w:sz w:val="20"/>
                <w:szCs w:val="20"/>
                <w:shd w:val="clear" w:color="auto" w:fill="FFFFFF"/>
                <w:vertAlign w:val="subscript"/>
                <w:lang w:val="en-US"/>
              </w:rPr>
              <w:t>2</w:t>
            </w:r>
            <w:r w:rsidRPr="00ED6DA5">
              <w:rPr>
                <w:color w:val="000000" w:themeColor="text1"/>
                <w:sz w:val="20"/>
                <w:szCs w:val="20"/>
                <w:shd w:val="clear" w:color="auto" w:fill="FFFFFF"/>
                <w:lang w:val="en-US"/>
              </w:rPr>
              <w:t>´- Putamen</w:t>
            </w:r>
          </w:p>
        </w:tc>
        <w:tc>
          <w:tcPr>
            <w:tcW w:w="2435" w:type="dxa"/>
            <w:shd w:val="clear" w:color="auto" w:fill="auto"/>
          </w:tcPr>
          <w:p w14:paraId="393ACBF0"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0.264</w:t>
            </w:r>
          </w:p>
        </w:tc>
        <w:tc>
          <w:tcPr>
            <w:tcW w:w="2769" w:type="dxa"/>
            <w:shd w:val="clear" w:color="auto" w:fill="auto"/>
          </w:tcPr>
          <w:p w14:paraId="1FAE8790" w14:textId="77777777" w:rsidR="007A290E" w:rsidRPr="00ED6DA5" w:rsidRDefault="007A290E"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0.223</w:t>
            </w:r>
          </w:p>
        </w:tc>
      </w:tr>
      <w:tr w:rsidR="007A290E" w:rsidRPr="00ED6DA5" w14:paraId="1A5AF286" w14:textId="77777777" w:rsidTr="007A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015D0FBB" w14:textId="77777777" w:rsidR="007A290E" w:rsidRPr="00ED6DA5" w:rsidRDefault="007A290E" w:rsidP="000F1160">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MRTM2 - BP</w:t>
            </w:r>
            <w:r w:rsidRPr="00ED6DA5">
              <w:rPr>
                <w:color w:val="000000" w:themeColor="text1"/>
                <w:sz w:val="20"/>
                <w:szCs w:val="20"/>
                <w:shd w:val="clear" w:color="auto" w:fill="FFFFFF"/>
                <w:vertAlign w:val="subscript"/>
                <w:lang w:val="en-US"/>
              </w:rPr>
              <w:t xml:space="preserve">ND </w:t>
            </w:r>
            <w:r w:rsidRPr="00ED6DA5">
              <w:rPr>
                <w:color w:val="000000" w:themeColor="text1"/>
                <w:sz w:val="20"/>
                <w:szCs w:val="20"/>
                <w:shd w:val="clear" w:color="auto" w:fill="FFFFFF"/>
                <w:lang w:val="en-US"/>
              </w:rPr>
              <w:t>- Putamen</w:t>
            </w:r>
          </w:p>
        </w:tc>
        <w:tc>
          <w:tcPr>
            <w:tcW w:w="2435" w:type="dxa"/>
            <w:shd w:val="clear" w:color="auto" w:fill="auto"/>
          </w:tcPr>
          <w:p w14:paraId="6A311CD2"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17.21</w:t>
            </w:r>
          </w:p>
        </w:tc>
        <w:tc>
          <w:tcPr>
            <w:tcW w:w="2769" w:type="dxa"/>
            <w:shd w:val="clear" w:color="auto" w:fill="auto"/>
          </w:tcPr>
          <w:p w14:paraId="792BA4B7" w14:textId="77777777" w:rsidR="007A290E" w:rsidRPr="00ED6DA5" w:rsidRDefault="007A290E" w:rsidP="000F1160">
            <w:pPr>
              <w:pStyle w:val="Tekstzonderopmaak"/>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shd w:val="clear" w:color="auto" w:fill="FFFFFF"/>
                <w:lang w:val="en-US"/>
              </w:rPr>
            </w:pPr>
            <w:r w:rsidRPr="00ED6DA5">
              <w:rPr>
                <w:color w:val="000000" w:themeColor="text1"/>
                <w:sz w:val="20"/>
                <w:szCs w:val="20"/>
                <w:shd w:val="clear" w:color="auto" w:fill="FFFFFF"/>
                <w:lang w:val="en-US"/>
              </w:rPr>
              <w:t>20.12</w:t>
            </w:r>
          </w:p>
        </w:tc>
      </w:tr>
      <w:tr w:rsidR="00033B80" w:rsidRPr="00ED6DA5" w14:paraId="6DBB82A2" w14:textId="77777777" w:rsidTr="007A290E">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120492FD" w14:textId="77777777" w:rsidR="00033B80" w:rsidRPr="00ED6DA5" w:rsidRDefault="00033B80" w:rsidP="000F1160">
            <w:pPr>
              <w:pStyle w:val="Tekstzonderopmaak"/>
              <w:jc w:val="both"/>
              <w:rPr>
                <w:color w:val="000000" w:themeColor="text1"/>
                <w:sz w:val="20"/>
                <w:szCs w:val="20"/>
                <w:shd w:val="clear" w:color="auto" w:fill="FFFFFF"/>
                <w:lang w:val="en-US"/>
              </w:rPr>
            </w:pPr>
          </w:p>
        </w:tc>
        <w:tc>
          <w:tcPr>
            <w:tcW w:w="2435" w:type="dxa"/>
            <w:shd w:val="clear" w:color="auto" w:fill="auto"/>
          </w:tcPr>
          <w:p w14:paraId="5487A8BC" w14:textId="77777777" w:rsidR="00033B80" w:rsidRPr="00ED6DA5" w:rsidRDefault="00033B80"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p>
        </w:tc>
        <w:tc>
          <w:tcPr>
            <w:tcW w:w="2769" w:type="dxa"/>
            <w:shd w:val="clear" w:color="auto" w:fill="auto"/>
          </w:tcPr>
          <w:p w14:paraId="7361104E" w14:textId="77777777" w:rsidR="00033B80" w:rsidRPr="00ED6DA5" w:rsidRDefault="00033B80" w:rsidP="000F1160">
            <w:pPr>
              <w:pStyle w:val="Tekstzonderopmaak"/>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lang w:val="en-US"/>
              </w:rPr>
            </w:pPr>
          </w:p>
        </w:tc>
      </w:tr>
    </w:tbl>
    <w:p w14:paraId="4392A63A" w14:textId="1F09A3CC" w:rsidR="007A290E" w:rsidRPr="00ED6DA5" w:rsidRDefault="007A290E" w:rsidP="007A290E">
      <w:pPr>
        <w:pStyle w:val="Tekstzonderopmaak"/>
        <w:jc w:val="both"/>
        <w:rPr>
          <w:color w:val="000000" w:themeColor="text1"/>
          <w:sz w:val="20"/>
          <w:szCs w:val="20"/>
          <w:lang w:val="en-US"/>
        </w:rPr>
      </w:pPr>
      <w:r w:rsidRPr="00ED6DA5">
        <w:rPr>
          <w:color w:val="000000" w:themeColor="text1"/>
          <w:sz w:val="20"/>
          <w:szCs w:val="20"/>
          <w:lang w:val="en-US"/>
        </w:rPr>
        <w:t xml:space="preserve">The </w:t>
      </w:r>
      <w:r w:rsidRPr="00ED6DA5">
        <w:rPr>
          <w:color w:val="000000" w:themeColor="text1"/>
          <w:sz w:val="20"/>
          <w:szCs w:val="20"/>
          <w:vertAlign w:val="superscript"/>
          <w:lang w:val="en-US"/>
        </w:rPr>
        <w:t>18</w:t>
      </w:r>
      <w:r w:rsidRPr="00ED6DA5">
        <w:rPr>
          <w:color w:val="000000" w:themeColor="text1"/>
          <w:sz w:val="20"/>
          <w:szCs w:val="20"/>
          <w:lang w:val="en-US"/>
        </w:rPr>
        <w:t xml:space="preserve">F-fallypride kinetic </w:t>
      </w:r>
      <w:r w:rsidR="00E32840" w:rsidRPr="00ED6DA5">
        <w:rPr>
          <w:color w:val="000000" w:themeColor="text1"/>
          <w:sz w:val="20"/>
          <w:szCs w:val="20"/>
          <w:lang w:val="en-US"/>
        </w:rPr>
        <w:t xml:space="preserve">behavior </w:t>
      </w:r>
      <w:r w:rsidRPr="00ED6DA5">
        <w:rPr>
          <w:color w:val="000000" w:themeColor="text1"/>
          <w:sz w:val="20"/>
          <w:szCs w:val="20"/>
          <w:lang w:val="en-US"/>
        </w:rPr>
        <w:t>shows a marked effect of D2/3 receptor concentration on the equilibrium time of the radioligand and hence on the corresponding BP</w:t>
      </w:r>
      <w:r w:rsidRPr="00ED6DA5">
        <w:rPr>
          <w:color w:val="000000" w:themeColor="text1"/>
          <w:sz w:val="20"/>
          <w:szCs w:val="20"/>
          <w:vertAlign w:val="subscript"/>
          <w:lang w:val="en-US"/>
        </w:rPr>
        <w:t>ND</w:t>
      </w:r>
      <w:r w:rsidRPr="00ED6DA5">
        <w:rPr>
          <w:color w:val="000000" w:themeColor="text1"/>
          <w:sz w:val="20"/>
          <w:szCs w:val="20"/>
          <w:lang w:val="en-US"/>
        </w:rPr>
        <w:t xml:space="preserve"> estimation </w:t>
      </w:r>
      <w:r w:rsidRPr="00ED6DA5">
        <w:rPr>
          <w:i/>
          <w:color w:val="000000" w:themeColor="text1"/>
          <w:sz w:val="20"/>
          <w:szCs w:val="20"/>
          <w:lang w:val="en-US"/>
        </w:rPr>
        <w:t>[Vernaleken J Cereb Blood Flow Metabolism 2011]</w:t>
      </w:r>
      <w:r w:rsidRPr="00ED6DA5">
        <w:rPr>
          <w:color w:val="000000" w:themeColor="text1"/>
          <w:sz w:val="20"/>
          <w:szCs w:val="20"/>
          <w:lang w:val="en-US"/>
        </w:rPr>
        <w:t>. It takes long to reach equilibrium in the D2/3 receptor–rich regions (i.e. striatum) and therefore to obtain a reliable estimate for BP</w:t>
      </w:r>
      <w:r w:rsidRPr="00ED6DA5">
        <w:rPr>
          <w:color w:val="000000" w:themeColor="text1"/>
          <w:sz w:val="20"/>
          <w:szCs w:val="20"/>
          <w:vertAlign w:val="subscript"/>
          <w:lang w:val="en-US"/>
          <w14:props3d w14:extrusionH="0" w14:contourW="0" w14:prstMaterial="matte"/>
        </w:rPr>
        <w:t>ND</w:t>
      </w:r>
      <w:r w:rsidRPr="00ED6DA5">
        <w:rPr>
          <w:color w:val="000000" w:themeColor="text1"/>
          <w:sz w:val="20"/>
          <w:szCs w:val="20"/>
          <w:lang w:val="en-US"/>
        </w:rPr>
        <w:t xml:space="preserve"> in striatal regions (needed for MRTM / MRTM2). </w:t>
      </w:r>
      <w:r w:rsidR="00E32840" w:rsidRPr="00ED6DA5">
        <w:rPr>
          <w:color w:val="000000" w:themeColor="text1"/>
          <w:sz w:val="20"/>
          <w:szCs w:val="20"/>
          <w:lang w:val="en-US"/>
        </w:rPr>
        <w:t xml:space="preserve">Therefore, </w:t>
      </w:r>
      <w:r w:rsidRPr="00ED6DA5">
        <w:rPr>
          <w:color w:val="000000" w:themeColor="text1"/>
          <w:sz w:val="20"/>
          <w:szCs w:val="20"/>
          <w:lang w:val="en-US"/>
        </w:rPr>
        <w:t xml:space="preserve">applying the MRTM (or MRTM2) on the first part of the baseline scan only (control condition) covering only 80 minutes might not ensure parameter stability and reliability. This is described by a substantial change in </w:t>
      </w:r>
      <w:r w:rsidRPr="00ED6DA5">
        <w:rPr>
          <w:color w:val="000000" w:themeColor="text1"/>
          <w:sz w:val="20"/>
          <w:szCs w:val="20"/>
          <w:shd w:val="clear" w:color="auto" w:fill="FFFFFF"/>
          <w:lang w:val="en-US"/>
        </w:rPr>
        <w:t>BP</w:t>
      </w:r>
      <w:r w:rsidRPr="00ED6DA5">
        <w:rPr>
          <w:color w:val="000000" w:themeColor="text1"/>
          <w:sz w:val="20"/>
          <w:szCs w:val="20"/>
          <w:shd w:val="clear" w:color="auto" w:fill="FFFFFF"/>
          <w:vertAlign w:val="subscript"/>
          <w:lang w:val="en-US"/>
        </w:rPr>
        <w:t>ND</w:t>
      </w:r>
      <w:r w:rsidRPr="00ED6DA5">
        <w:rPr>
          <w:color w:val="000000" w:themeColor="text1"/>
          <w:sz w:val="20"/>
          <w:szCs w:val="20"/>
          <w:lang w:val="en-US"/>
        </w:rPr>
        <w:t xml:space="preserve"> estimates when the baseline condition is excluded.</w:t>
      </w:r>
    </w:p>
    <w:p w14:paraId="6BFFD1F0" w14:textId="67784284" w:rsidR="007A290E" w:rsidRPr="00ED6DA5" w:rsidRDefault="007A290E" w:rsidP="007A290E">
      <w:pPr>
        <w:pStyle w:val="Tekstzonderopmaak"/>
        <w:jc w:val="both"/>
        <w:rPr>
          <w:color w:val="000000" w:themeColor="text1"/>
          <w:sz w:val="20"/>
          <w:szCs w:val="20"/>
          <w:shd w:val="clear" w:color="auto" w:fill="FFFFFF"/>
          <w:lang w:val="en-US"/>
        </w:rPr>
      </w:pPr>
      <w:r w:rsidRPr="00ED6DA5">
        <w:rPr>
          <w:color w:val="000000" w:themeColor="text1"/>
          <w:sz w:val="20"/>
          <w:szCs w:val="20"/>
          <w:shd w:val="clear" w:color="auto" w:fill="FFFFFF"/>
          <w:lang w:val="en-US"/>
        </w:rPr>
        <w:t>Indeed, when we have first performed the MRTM to estimate K</w:t>
      </w:r>
      <w:r w:rsidRPr="00ED6DA5">
        <w:rPr>
          <w:color w:val="000000" w:themeColor="text1"/>
          <w:sz w:val="20"/>
          <w:szCs w:val="20"/>
          <w:shd w:val="clear" w:color="auto" w:fill="FFFFFF"/>
          <w:vertAlign w:val="subscript"/>
          <w:lang w:val="en-US"/>
        </w:rPr>
        <w:t>2</w:t>
      </w:r>
      <w:r w:rsidRPr="00ED6DA5">
        <w:rPr>
          <w:color w:val="000000" w:themeColor="text1"/>
          <w:sz w:val="20"/>
          <w:szCs w:val="20"/>
          <w:shd w:val="clear" w:color="auto" w:fill="FFFFFF"/>
          <w:lang w:val="en-US"/>
        </w:rPr>
        <w:t>´ on the striatal regions including only the control condition, we have obtained higher values for the efflux rates from the reference region (K</w:t>
      </w:r>
      <w:r w:rsidRPr="00ED6DA5">
        <w:rPr>
          <w:color w:val="000000" w:themeColor="text1"/>
          <w:sz w:val="20"/>
          <w:szCs w:val="20"/>
          <w:shd w:val="clear" w:color="auto" w:fill="FFFFFF"/>
          <w:vertAlign w:val="subscript"/>
          <w:lang w:val="en-US"/>
        </w:rPr>
        <w:t>2</w:t>
      </w:r>
      <w:r w:rsidRPr="00ED6DA5">
        <w:rPr>
          <w:color w:val="000000" w:themeColor="text1"/>
          <w:sz w:val="20"/>
          <w:szCs w:val="20"/>
          <w:shd w:val="clear" w:color="auto" w:fill="FFFFFF"/>
          <w:lang w:val="en-US"/>
        </w:rPr>
        <w:t>´), and lower BP</w:t>
      </w:r>
      <w:r w:rsidRPr="00ED6DA5">
        <w:rPr>
          <w:color w:val="000000" w:themeColor="text1"/>
          <w:sz w:val="20"/>
          <w:szCs w:val="20"/>
          <w:shd w:val="clear" w:color="auto" w:fill="FFFFFF"/>
          <w:vertAlign w:val="subscript"/>
          <w:lang w:val="en-US"/>
        </w:rPr>
        <w:t>ND</w:t>
      </w:r>
      <w:r w:rsidRPr="00ED6DA5">
        <w:rPr>
          <w:color w:val="000000" w:themeColor="text1"/>
          <w:sz w:val="20"/>
          <w:szCs w:val="20"/>
          <w:shd w:val="clear" w:color="auto" w:fill="FFFFFF"/>
          <w:lang w:val="en-US"/>
        </w:rPr>
        <w:t xml:space="preserve"> (~20%) compared to the control + baseline condition</w:t>
      </w:r>
      <w:r w:rsidR="00E32840" w:rsidRPr="00ED6DA5">
        <w:rPr>
          <w:color w:val="000000" w:themeColor="text1"/>
          <w:sz w:val="20"/>
          <w:szCs w:val="20"/>
          <w:shd w:val="clear" w:color="auto" w:fill="FFFFFF"/>
          <w:lang w:val="en-US"/>
        </w:rPr>
        <w:t xml:space="preserve">. This striatal BP underestimation was reflected in the lower prefrontal BP values obtained when only the control condition was included (in average -11 </w:t>
      </w:r>
      <w:r w:rsidR="00E32840" w:rsidRPr="00ED6DA5">
        <w:rPr>
          <w:rFonts w:cs="Calibri"/>
          <w:color w:val="000000" w:themeColor="text1"/>
          <w:sz w:val="20"/>
          <w:szCs w:val="20"/>
          <w:shd w:val="clear" w:color="auto" w:fill="FFFFFF"/>
          <w:lang w:val="en-US"/>
        </w:rPr>
        <w:t>±</w:t>
      </w:r>
      <w:r w:rsidR="00E32840" w:rsidRPr="00ED6DA5">
        <w:rPr>
          <w:color w:val="000000" w:themeColor="text1"/>
          <w:sz w:val="20"/>
          <w:szCs w:val="20"/>
          <w:shd w:val="clear" w:color="auto" w:fill="FFFFFF"/>
          <w:lang w:val="en-US"/>
        </w:rPr>
        <w:t xml:space="preserve"> 4 %), compared to the current used control and baseline condition, demonstrating the fact that 80 mins are not sufficient to properly evaluate </w:t>
      </w:r>
      <w:r w:rsidR="00E32840" w:rsidRPr="00ED6DA5">
        <w:rPr>
          <w:color w:val="000000" w:themeColor="text1"/>
          <w:sz w:val="20"/>
          <w:szCs w:val="20"/>
          <w:shd w:val="clear" w:color="auto" w:fill="FFFFFF"/>
          <w:vertAlign w:val="superscript"/>
          <w:lang w:val="en-US"/>
        </w:rPr>
        <w:t>18</w:t>
      </w:r>
      <w:r w:rsidR="00E32840" w:rsidRPr="00ED6DA5">
        <w:rPr>
          <w:color w:val="000000" w:themeColor="text1"/>
          <w:sz w:val="20"/>
          <w:szCs w:val="20"/>
          <w:shd w:val="clear" w:color="auto" w:fill="FFFFFF"/>
          <w:lang w:val="en-US"/>
        </w:rPr>
        <w:t>F-fallypride BP</w:t>
      </w:r>
      <w:r w:rsidR="00E32840" w:rsidRPr="00ED6DA5">
        <w:rPr>
          <w:color w:val="000000" w:themeColor="text1"/>
          <w:sz w:val="20"/>
          <w:szCs w:val="20"/>
          <w:shd w:val="clear" w:color="auto" w:fill="FFFFFF"/>
          <w:vertAlign w:val="subscript"/>
          <w:lang w:val="en-US"/>
        </w:rPr>
        <w:t>ND</w:t>
      </w:r>
      <w:r w:rsidR="00E32840" w:rsidRPr="00ED6DA5">
        <w:rPr>
          <w:color w:val="000000" w:themeColor="text1"/>
          <w:sz w:val="20"/>
          <w:szCs w:val="20"/>
          <w:shd w:val="clear" w:color="auto" w:fill="FFFFFF"/>
          <w:lang w:val="en-US"/>
        </w:rPr>
        <w:t xml:space="preserve">. </w:t>
      </w:r>
      <w:r w:rsidRPr="00ED6DA5">
        <w:rPr>
          <w:color w:val="000000" w:themeColor="text1"/>
          <w:sz w:val="20"/>
          <w:szCs w:val="20"/>
          <w:shd w:val="clear" w:color="auto" w:fill="FFFFFF"/>
          <w:lang w:val="en-US"/>
        </w:rPr>
        <w:t xml:space="preserve"> (</w:t>
      </w:r>
      <w:r w:rsidR="00E32840" w:rsidRPr="00ED6DA5">
        <w:rPr>
          <w:color w:val="000000" w:themeColor="text1"/>
          <w:sz w:val="20"/>
          <w:szCs w:val="20"/>
          <w:shd w:val="clear" w:color="auto" w:fill="FFFFFF"/>
          <w:lang w:val="en-US"/>
        </w:rPr>
        <w:t>S</w:t>
      </w:r>
      <w:r w:rsidRPr="00ED6DA5">
        <w:rPr>
          <w:color w:val="000000" w:themeColor="text1"/>
          <w:sz w:val="20"/>
          <w:szCs w:val="20"/>
          <w:shd w:val="clear" w:color="auto" w:fill="FFFFFF"/>
          <w:lang w:val="en-US"/>
        </w:rPr>
        <w:t xml:space="preserve">ee please the values reported in supp. Table 2 </w:t>
      </w:r>
      <w:r w:rsidR="00E32840" w:rsidRPr="00ED6DA5">
        <w:rPr>
          <w:color w:val="000000" w:themeColor="text1"/>
          <w:sz w:val="20"/>
          <w:szCs w:val="20"/>
          <w:shd w:val="clear" w:color="auto" w:fill="FFFFFF"/>
          <w:lang w:val="en-US"/>
        </w:rPr>
        <w:t xml:space="preserve">and figure 4 </w:t>
      </w:r>
      <w:r w:rsidRPr="00ED6DA5">
        <w:rPr>
          <w:color w:val="000000" w:themeColor="text1"/>
          <w:sz w:val="20"/>
          <w:szCs w:val="20"/>
          <w:shd w:val="clear" w:color="auto" w:fill="FFFFFF"/>
          <w:lang w:val="en-US"/>
        </w:rPr>
        <w:t>corresponding to one representative subject).</w:t>
      </w:r>
    </w:p>
    <w:p w14:paraId="2E16C3D7" w14:textId="77777777" w:rsidR="007A290E" w:rsidRPr="00ED6DA5" w:rsidRDefault="007A290E" w:rsidP="007A290E">
      <w:pPr>
        <w:pStyle w:val="Tekstzonderopmaak"/>
        <w:jc w:val="both"/>
        <w:rPr>
          <w:color w:val="000000" w:themeColor="text1"/>
          <w:sz w:val="20"/>
          <w:szCs w:val="20"/>
          <w:shd w:val="clear" w:color="auto" w:fill="FFFFFF"/>
          <w:lang w:val="en-US"/>
        </w:rPr>
      </w:pPr>
    </w:p>
    <w:p w14:paraId="6C4F453D" w14:textId="77777777" w:rsidR="007A290E" w:rsidRPr="00ED6DA5" w:rsidRDefault="007A290E" w:rsidP="007A290E">
      <w:pPr>
        <w:pStyle w:val="Tekstzonderopmaak"/>
        <w:jc w:val="both"/>
        <w:rPr>
          <w:color w:val="000000" w:themeColor="text1"/>
          <w:sz w:val="20"/>
          <w:szCs w:val="20"/>
          <w:shd w:val="clear" w:color="auto" w:fill="FFFFFF"/>
          <w:lang w:val="en-US"/>
        </w:rPr>
      </w:pPr>
    </w:p>
    <w:p w14:paraId="382020AF" w14:textId="577001DD" w:rsidR="007A290E" w:rsidRPr="00ED6DA5" w:rsidRDefault="007A290E" w:rsidP="007A290E">
      <w:pPr>
        <w:pStyle w:val="Tekstzonderopmaak"/>
        <w:jc w:val="both"/>
        <w:rPr>
          <w:color w:val="000000" w:themeColor="text1"/>
          <w:sz w:val="20"/>
          <w:szCs w:val="20"/>
          <w:shd w:val="clear" w:color="auto" w:fill="FFFFFF"/>
          <w:lang w:val="en-US"/>
        </w:rPr>
      </w:pPr>
      <w:r w:rsidRPr="00ED6DA5">
        <w:rPr>
          <w:rFonts w:ascii="Arial" w:eastAsia="Times New Roman" w:hAnsi="Arial" w:cs="Arial"/>
          <w:b/>
          <w:color w:val="000000" w:themeColor="text1"/>
          <w:sz w:val="20"/>
          <w:szCs w:val="20"/>
          <w:lang w:val="en-US"/>
        </w:rPr>
        <w:t>Supplementary Figure 4:</w:t>
      </w:r>
    </w:p>
    <w:p w14:paraId="23EF947B" w14:textId="77777777" w:rsidR="007A290E" w:rsidRPr="00ED6DA5" w:rsidRDefault="007A290E" w:rsidP="007A290E">
      <w:pPr>
        <w:pStyle w:val="Tekstzonderopmaak"/>
        <w:jc w:val="both"/>
        <w:rPr>
          <w:color w:val="000000" w:themeColor="text1"/>
          <w:sz w:val="20"/>
          <w:szCs w:val="20"/>
          <w:shd w:val="clear" w:color="auto" w:fill="FFFFFF"/>
          <w:lang w:val="en-US"/>
        </w:rPr>
      </w:pPr>
    </w:p>
    <w:p w14:paraId="391FE63C" w14:textId="77777777" w:rsidR="007A290E" w:rsidRPr="00ED6DA5" w:rsidRDefault="007A290E" w:rsidP="007A290E">
      <w:pPr>
        <w:pStyle w:val="Tekstzonderopmaak"/>
        <w:jc w:val="both"/>
        <w:rPr>
          <w:color w:val="44546A" w:themeColor="text2"/>
          <w:sz w:val="20"/>
          <w:szCs w:val="20"/>
          <w:shd w:val="clear" w:color="auto" w:fill="FFFFFF"/>
          <w:lang w:val="en-US"/>
        </w:rPr>
      </w:pPr>
      <w:r w:rsidRPr="00ED6DA5">
        <w:rPr>
          <w:noProof/>
          <w:color w:val="44546A" w:themeColor="text2"/>
          <w:sz w:val="20"/>
          <w:szCs w:val="20"/>
          <w:shd w:val="clear" w:color="auto" w:fill="FFFFFF"/>
          <w:lang w:val="nl-NL" w:eastAsia="nl-NL"/>
        </w:rPr>
        <w:drawing>
          <wp:inline distT="0" distB="0" distL="0" distR="0" wp14:anchorId="30A9F1F5" wp14:editId="02B4129C">
            <wp:extent cx="5740400" cy="314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revision rebuttal.png"/>
                    <pic:cNvPicPr/>
                  </pic:nvPicPr>
                  <pic:blipFill>
                    <a:blip r:embed="rId9">
                      <a:extLst>
                        <a:ext uri="{28A0092B-C50C-407E-A947-70E740481C1C}">
                          <a14:useLocalDpi xmlns:a14="http://schemas.microsoft.com/office/drawing/2010/main" val="0"/>
                        </a:ext>
                      </a:extLst>
                    </a:blip>
                    <a:stretch>
                      <a:fillRect/>
                    </a:stretch>
                  </pic:blipFill>
                  <pic:spPr>
                    <a:xfrm>
                      <a:off x="0" y="0"/>
                      <a:ext cx="5740400" cy="3149600"/>
                    </a:xfrm>
                    <a:prstGeom prst="rect">
                      <a:avLst/>
                    </a:prstGeom>
                  </pic:spPr>
                </pic:pic>
              </a:graphicData>
            </a:graphic>
          </wp:inline>
        </w:drawing>
      </w:r>
    </w:p>
    <w:p w14:paraId="17D06471" w14:textId="77777777" w:rsidR="007A290E" w:rsidRPr="00ED6DA5" w:rsidRDefault="007A290E" w:rsidP="007A290E">
      <w:pPr>
        <w:pStyle w:val="Tekstzonderopmaak"/>
        <w:jc w:val="both"/>
        <w:rPr>
          <w:color w:val="44546A" w:themeColor="text2"/>
          <w:sz w:val="20"/>
          <w:szCs w:val="20"/>
          <w:shd w:val="clear" w:color="auto" w:fill="FFFFFF"/>
          <w:lang w:val="en-US"/>
        </w:rPr>
      </w:pPr>
      <w:r w:rsidRPr="00ED6DA5">
        <w:rPr>
          <w:color w:val="44546A" w:themeColor="text2"/>
          <w:sz w:val="20"/>
          <w:szCs w:val="20"/>
          <w:shd w:val="clear" w:color="auto" w:fill="FFFFFF"/>
          <w:lang w:val="en-US"/>
        </w:rPr>
        <w:t xml:space="preserve"> </w:t>
      </w:r>
    </w:p>
    <w:p w14:paraId="43E6552A" w14:textId="77777777" w:rsidR="00EA55FB" w:rsidRPr="00ED6DA5" w:rsidRDefault="00EA55FB" w:rsidP="006B6A19">
      <w:pPr>
        <w:rPr>
          <w:rFonts w:ascii="Calibri" w:eastAsia="Times New Roman" w:hAnsi="Calibri"/>
          <w:b/>
          <w:color w:val="000000" w:themeColor="text1"/>
          <w:sz w:val="20"/>
          <w:szCs w:val="20"/>
        </w:rPr>
      </w:pPr>
    </w:p>
    <w:sectPr w:rsidR="00EA55FB" w:rsidRPr="00ED6DA5" w:rsidSect="00753E6A">
      <w:headerReference w:type="default" r:id="rId10"/>
      <w:footerReference w:type="even" r:id="rId11"/>
      <w:footerReference w:type="default" r:id="rId12"/>
      <w:pgSz w:w="11900" w:h="16840"/>
      <w:pgMar w:top="1440" w:right="1800" w:bottom="1326"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46CC1" w14:textId="77777777" w:rsidR="008C330C" w:rsidRDefault="008C330C">
      <w:r>
        <w:separator/>
      </w:r>
    </w:p>
  </w:endnote>
  <w:endnote w:type="continuationSeparator" w:id="0">
    <w:p w14:paraId="06E07F00" w14:textId="77777777" w:rsidR="008C330C" w:rsidRDefault="008C3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AdvTT3713a231">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C0B8C" w14:textId="77777777" w:rsidR="00BE5518" w:rsidRDefault="004F6646" w:rsidP="00833C42">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453C76A" w14:textId="77777777" w:rsidR="00BE5518" w:rsidRDefault="008C330C" w:rsidP="00846B2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21558" w14:textId="0490FDE1" w:rsidR="00BE5518" w:rsidRDefault="004F6646" w:rsidP="00833C42">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13947">
      <w:rPr>
        <w:rStyle w:val="Paginanummer"/>
        <w:noProof/>
      </w:rPr>
      <w:t>1</w:t>
    </w:r>
    <w:r>
      <w:rPr>
        <w:rStyle w:val="Paginanummer"/>
      </w:rPr>
      <w:fldChar w:fldCharType="end"/>
    </w:r>
  </w:p>
  <w:p w14:paraId="7CD9D4EA" w14:textId="77777777" w:rsidR="00BE5518" w:rsidRDefault="008C330C" w:rsidP="00846B23">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3CB2B" w14:textId="77777777" w:rsidR="008C330C" w:rsidRDefault="008C330C">
      <w:r>
        <w:separator/>
      </w:r>
    </w:p>
  </w:footnote>
  <w:footnote w:type="continuationSeparator" w:id="0">
    <w:p w14:paraId="4CAE81C7" w14:textId="77777777" w:rsidR="008C330C" w:rsidRDefault="008C33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6E204" w14:textId="030BE48E" w:rsidR="00BE5518" w:rsidRPr="003A7232" w:rsidRDefault="00183F6E">
    <w:pPr>
      <w:pStyle w:val="Koptekst"/>
      <w:rPr>
        <w:lang w:val="nl-NL"/>
      </w:rPr>
    </w:pPr>
    <w:r>
      <w:rPr>
        <w:lang w:val="nl-NL"/>
      </w:rPr>
      <w:t xml:space="preserve">Revision </w:t>
    </w:r>
    <w:r w:rsidR="00F24979">
      <w:rPr>
        <w:lang w:val="nl-NL"/>
      </w:rPr>
      <w:t xml:space="preserve">Supp. Material </w:t>
    </w:r>
    <w:r w:rsidR="004F6646" w:rsidRPr="003A7232">
      <w:rPr>
        <w:lang w:val="nl-NL"/>
      </w:rPr>
      <w:t xml:space="preserve">Van Duin et al. </w:t>
    </w:r>
    <w:r w:rsidR="004F6646" w:rsidRPr="00363042">
      <w:rPr>
        <w:lang w:val="nl-NL"/>
      </w:rPr>
      <w:t>Frontal</w:t>
    </w:r>
    <w:r w:rsidR="004F6646">
      <w:rPr>
        <w:lang w:val="nl-NL"/>
      </w:rPr>
      <w:t xml:space="preserve"> DA </w:t>
    </w:r>
    <w:r w:rsidR="004F6646" w:rsidRPr="003A7232">
      <w:rPr>
        <w:lang w:val="nl-NL"/>
      </w:rPr>
      <w:t>D</w:t>
    </w:r>
    <w:r w:rsidR="004F6646" w:rsidRPr="003A7232">
      <w:rPr>
        <w:vertAlign w:val="subscript"/>
        <w:lang w:val="nl-NL"/>
      </w:rPr>
      <w:t>2/3</w:t>
    </w:r>
    <w:r w:rsidR="004F6646">
      <w:rPr>
        <w:lang w:val="nl-NL"/>
      </w:rPr>
      <w:t xml:space="preserve">R </w:t>
    </w:r>
    <w:r w:rsidR="005F4460">
      <w:rPr>
        <w:lang w:val="nl-NL"/>
      </w:rPr>
      <w:t xml:space="preserve">binding </w:t>
    </w:r>
    <w:r w:rsidR="00B35E74">
      <w:rPr>
        <w:lang w:val="nl-NL"/>
      </w:rPr>
      <w:t xml:space="preserve">in 22q11DS </w:t>
    </w:r>
    <w:r w:rsidR="005F4460">
      <w:rPr>
        <w:lang w:val="nl-NL"/>
      </w:rPr>
      <w:t>2</w:t>
    </w:r>
    <w:r w:rsidR="00B35E74">
      <w:rPr>
        <w:lang w:val="nl-NL"/>
      </w:rPr>
      <w:t>018</w:t>
    </w:r>
  </w:p>
  <w:p w14:paraId="28697624" w14:textId="77777777" w:rsidR="00BE5518" w:rsidRPr="003A7232" w:rsidRDefault="008C330C" w:rsidP="008B0509">
    <w:pPr>
      <w:spacing w:line="360" w:lineRule="auto"/>
      <w:jc w:val="both"/>
      <w:rPr>
        <w:rFonts w:asciiTheme="majorHAnsi" w:hAnsiTheme="majorHAnsi"/>
        <w:b/>
        <w:sz w:val="18"/>
        <w:szCs w:val="18"/>
        <w:lang w:val="nl-N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AEE"/>
    <w:rsid w:val="00027302"/>
    <w:rsid w:val="00033B80"/>
    <w:rsid w:val="00040143"/>
    <w:rsid w:val="00041EAD"/>
    <w:rsid w:val="0007014C"/>
    <w:rsid w:val="000E151A"/>
    <w:rsid w:val="00132FAD"/>
    <w:rsid w:val="00183F6E"/>
    <w:rsid w:val="00191D34"/>
    <w:rsid w:val="00196C12"/>
    <w:rsid w:val="0020217B"/>
    <w:rsid w:val="002070EF"/>
    <w:rsid w:val="002E294E"/>
    <w:rsid w:val="002F606B"/>
    <w:rsid w:val="00310D5D"/>
    <w:rsid w:val="0036220D"/>
    <w:rsid w:val="0038599A"/>
    <w:rsid w:val="003D286E"/>
    <w:rsid w:val="00443B88"/>
    <w:rsid w:val="004E5626"/>
    <w:rsid w:val="004E65EC"/>
    <w:rsid w:val="004F6646"/>
    <w:rsid w:val="00587EA7"/>
    <w:rsid w:val="005B2969"/>
    <w:rsid w:val="005C00F0"/>
    <w:rsid w:val="005F1BAC"/>
    <w:rsid w:val="005F4460"/>
    <w:rsid w:val="006B6A19"/>
    <w:rsid w:val="007211FF"/>
    <w:rsid w:val="0074240A"/>
    <w:rsid w:val="00772B06"/>
    <w:rsid w:val="007817EA"/>
    <w:rsid w:val="00783E4B"/>
    <w:rsid w:val="00783ED0"/>
    <w:rsid w:val="007A290E"/>
    <w:rsid w:val="007D0DA9"/>
    <w:rsid w:val="007D707F"/>
    <w:rsid w:val="007E17FB"/>
    <w:rsid w:val="007E515D"/>
    <w:rsid w:val="00813286"/>
    <w:rsid w:val="00813947"/>
    <w:rsid w:val="0082105B"/>
    <w:rsid w:val="00845AEE"/>
    <w:rsid w:val="00864381"/>
    <w:rsid w:val="00870B3A"/>
    <w:rsid w:val="008B4153"/>
    <w:rsid w:val="008C330C"/>
    <w:rsid w:val="0093081C"/>
    <w:rsid w:val="009432FA"/>
    <w:rsid w:val="00975860"/>
    <w:rsid w:val="009919BF"/>
    <w:rsid w:val="009B1DD8"/>
    <w:rsid w:val="009B6B04"/>
    <w:rsid w:val="009C4C28"/>
    <w:rsid w:val="00A15CF8"/>
    <w:rsid w:val="00A22D51"/>
    <w:rsid w:val="00A3485B"/>
    <w:rsid w:val="00A567DB"/>
    <w:rsid w:val="00AB3841"/>
    <w:rsid w:val="00AC7BB3"/>
    <w:rsid w:val="00AE0854"/>
    <w:rsid w:val="00AF390F"/>
    <w:rsid w:val="00B35E74"/>
    <w:rsid w:val="00B65E71"/>
    <w:rsid w:val="00B83127"/>
    <w:rsid w:val="00BB676E"/>
    <w:rsid w:val="00C35F09"/>
    <w:rsid w:val="00C41FBB"/>
    <w:rsid w:val="00C53F7C"/>
    <w:rsid w:val="00C715E7"/>
    <w:rsid w:val="00C86796"/>
    <w:rsid w:val="00C95771"/>
    <w:rsid w:val="00C96C21"/>
    <w:rsid w:val="00D00BCB"/>
    <w:rsid w:val="00D06BE1"/>
    <w:rsid w:val="00D260FF"/>
    <w:rsid w:val="00D43820"/>
    <w:rsid w:val="00DB600C"/>
    <w:rsid w:val="00DB6379"/>
    <w:rsid w:val="00DD19DD"/>
    <w:rsid w:val="00E32840"/>
    <w:rsid w:val="00E83AC9"/>
    <w:rsid w:val="00EA55FB"/>
    <w:rsid w:val="00ED6DA5"/>
    <w:rsid w:val="00EF1642"/>
    <w:rsid w:val="00F239D5"/>
    <w:rsid w:val="00F24979"/>
    <w:rsid w:val="00F25C03"/>
    <w:rsid w:val="00F31FFB"/>
    <w:rsid w:val="00F609B5"/>
    <w:rsid w:val="00F9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D922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45AEE"/>
    <w:rPr>
      <w:rFonts w:ascii="Times New Roman" w:eastAsiaTheme="minorEastAsia" w:hAnsi="Times New Roman" w:cs="Times New Roman"/>
    </w:rPr>
  </w:style>
  <w:style w:type="paragraph" w:styleId="Kop3">
    <w:name w:val="heading 3"/>
    <w:basedOn w:val="Standaard"/>
    <w:next w:val="Standaard"/>
    <w:link w:val="Kop3Teken"/>
    <w:uiPriority w:val="9"/>
    <w:semiHidden/>
    <w:unhideWhenUsed/>
    <w:qFormat/>
    <w:rsid w:val="00845AE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Teken">
    <w:name w:val="Kop 3 Teken"/>
    <w:basedOn w:val="Standaardalinea-lettertype"/>
    <w:link w:val="Kop3"/>
    <w:uiPriority w:val="9"/>
    <w:semiHidden/>
    <w:rsid w:val="00845AEE"/>
    <w:rPr>
      <w:rFonts w:asciiTheme="majorHAnsi" w:eastAsiaTheme="majorEastAsia" w:hAnsiTheme="majorHAnsi" w:cstheme="majorBidi"/>
      <w:color w:val="1F3763" w:themeColor="accent1" w:themeShade="7F"/>
    </w:rPr>
  </w:style>
  <w:style w:type="paragraph" w:styleId="Koptekst">
    <w:name w:val="header"/>
    <w:basedOn w:val="Standaard"/>
    <w:link w:val="KoptekstTeken"/>
    <w:uiPriority w:val="99"/>
    <w:unhideWhenUsed/>
    <w:rsid w:val="00845AEE"/>
    <w:pPr>
      <w:tabs>
        <w:tab w:val="center" w:pos="4680"/>
        <w:tab w:val="right" w:pos="9360"/>
      </w:tabs>
    </w:pPr>
    <w:rPr>
      <w:rFonts w:ascii="Verdana" w:eastAsia="Calibri" w:hAnsi="Verdana" w:cs="AdvTT3713a231"/>
      <w:color w:val="141314"/>
      <w:sz w:val="20"/>
      <w:szCs w:val="20"/>
      <w:lang w:val="en-GB" w:eastAsia="zh-CN"/>
    </w:rPr>
  </w:style>
  <w:style w:type="character" w:customStyle="1" w:styleId="KoptekstTeken">
    <w:name w:val="Koptekst Teken"/>
    <w:basedOn w:val="Standaardalinea-lettertype"/>
    <w:link w:val="Koptekst"/>
    <w:uiPriority w:val="99"/>
    <w:rsid w:val="00845AEE"/>
    <w:rPr>
      <w:rFonts w:ascii="Verdana" w:eastAsia="Calibri" w:hAnsi="Verdana" w:cs="AdvTT3713a231"/>
      <w:color w:val="141314"/>
      <w:sz w:val="20"/>
      <w:szCs w:val="20"/>
      <w:lang w:val="en-GB" w:eastAsia="zh-CN"/>
    </w:rPr>
  </w:style>
  <w:style w:type="paragraph" w:styleId="Voettekst">
    <w:name w:val="footer"/>
    <w:basedOn w:val="Standaard"/>
    <w:link w:val="VoettekstTeken"/>
    <w:uiPriority w:val="99"/>
    <w:unhideWhenUsed/>
    <w:rsid w:val="00845AEE"/>
    <w:pPr>
      <w:tabs>
        <w:tab w:val="center" w:pos="4680"/>
        <w:tab w:val="right" w:pos="9360"/>
      </w:tabs>
    </w:pPr>
    <w:rPr>
      <w:rFonts w:ascii="Verdana" w:eastAsia="Calibri" w:hAnsi="Verdana" w:cs="AdvTT3713a231"/>
      <w:color w:val="141314"/>
      <w:sz w:val="20"/>
      <w:szCs w:val="20"/>
      <w:lang w:val="en-GB" w:eastAsia="zh-CN"/>
    </w:rPr>
  </w:style>
  <w:style w:type="character" w:customStyle="1" w:styleId="VoettekstTeken">
    <w:name w:val="Voettekst Teken"/>
    <w:basedOn w:val="Standaardalinea-lettertype"/>
    <w:link w:val="Voettekst"/>
    <w:uiPriority w:val="99"/>
    <w:rsid w:val="00845AEE"/>
    <w:rPr>
      <w:rFonts w:ascii="Verdana" w:eastAsia="Calibri" w:hAnsi="Verdana" w:cs="AdvTT3713a231"/>
      <w:color w:val="141314"/>
      <w:sz w:val="20"/>
      <w:szCs w:val="20"/>
      <w:lang w:val="en-GB" w:eastAsia="zh-CN"/>
    </w:rPr>
  </w:style>
  <w:style w:type="paragraph" w:styleId="Normaalweb">
    <w:name w:val="Normal (Web)"/>
    <w:basedOn w:val="Standaard"/>
    <w:uiPriority w:val="99"/>
    <w:semiHidden/>
    <w:unhideWhenUsed/>
    <w:rsid w:val="00845AEE"/>
    <w:pPr>
      <w:spacing w:before="100" w:beforeAutospacing="1" w:after="100" w:afterAutospacing="1"/>
    </w:pPr>
  </w:style>
  <w:style w:type="character" w:styleId="Nadruk">
    <w:name w:val="Emphasis"/>
    <w:basedOn w:val="Standaardalinea-lettertype"/>
    <w:uiPriority w:val="20"/>
    <w:qFormat/>
    <w:rsid w:val="00845AEE"/>
    <w:rPr>
      <w:i/>
      <w:iCs/>
    </w:rPr>
  </w:style>
  <w:style w:type="character" w:styleId="Paginanummer">
    <w:name w:val="page number"/>
    <w:basedOn w:val="Standaardalinea-lettertype"/>
    <w:uiPriority w:val="99"/>
    <w:semiHidden/>
    <w:unhideWhenUsed/>
    <w:rsid w:val="00845AEE"/>
  </w:style>
  <w:style w:type="table" w:customStyle="1" w:styleId="ListTable7Colorful1">
    <w:name w:val="List Table 7 Colorful1"/>
    <w:basedOn w:val="Standaardtabel"/>
    <w:uiPriority w:val="52"/>
    <w:rsid w:val="00845AEE"/>
    <w:rPr>
      <w:rFonts w:eastAsiaTheme="minorEastAsia"/>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Standaardalinea-lettertype"/>
    <w:rsid w:val="00B35E74"/>
  </w:style>
  <w:style w:type="character" w:customStyle="1" w:styleId="interref">
    <w:name w:val="interref"/>
    <w:basedOn w:val="Standaardalinea-lettertype"/>
    <w:rsid w:val="00B35E74"/>
  </w:style>
  <w:style w:type="paragraph" w:styleId="Tekstzonderopmaak">
    <w:name w:val="Plain Text"/>
    <w:basedOn w:val="Standaard"/>
    <w:link w:val="TekstzonderopmaakTeken"/>
    <w:uiPriority w:val="99"/>
    <w:unhideWhenUsed/>
    <w:rsid w:val="007817EA"/>
    <w:rPr>
      <w:rFonts w:ascii="Calibri" w:eastAsiaTheme="minorHAnsi" w:hAnsi="Calibri" w:cstheme="minorBidi"/>
      <w:sz w:val="22"/>
      <w:szCs w:val="21"/>
      <w:lang w:val="nl-BE"/>
    </w:rPr>
  </w:style>
  <w:style w:type="character" w:customStyle="1" w:styleId="TekstzonderopmaakTeken">
    <w:name w:val="Tekst zonder opmaak Teken"/>
    <w:basedOn w:val="Standaardalinea-lettertype"/>
    <w:link w:val="Tekstzonderopmaak"/>
    <w:uiPriority w:val="99"/>
    <w:rsid w:val="007817EA"/>
    <w:rPr>
      <w:rFonts w:ascii="Calibri" w:hAnsi="Calibri"/>
      <w:sz w:val="22"/>
      <w:szCs w:val="21"/>
      <w:lang w:val="nl-BE"/>
    </w:rPr>
  </w:style>
  <w:style w:type="table" w:styleId="Tabelzonderopmaak5">
    <w:name w:val="Plain Table 5"/>
    <w:basedOn w:val="Standaardtabel"/>
    <w:uiPriority w:val="45"/>
    <w:rsid w:val="007A290E"/>
    <w:rPr>
      <w:sz w:val="22"/>
      <w:szCs w:val="22"/>
      <w:lang w:val="nl-BE"/>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ntekst">
    <w:name w:val="Balloon Text"/>
    <w:basedOn w:val="Standaard"/>
    <w:link w:val="BallontekstTeken"/>
    <w:uiPriority w:val="99"/>
    <w:semiHidden/>
    <w:unhideWhenUsed/>
    <w:rsid w:val="00033B80"/>
    <w:rPr>
      <w:sz w:val="18"/>
      <w:szCs w:val="18"/>
    </w:rPr>
  </w:style>
  <w:style w:type="character" w:customStyle="1" w:styleId="BallontekstTeken">
    <w:name w:val="Ballontekst Teken"/>
    <w:basedOn w:val="Standaardalinea-lettertype"/>
    <w:link w:val="Ballontekst"/>
    <w:uiPriority w:val="99"/>
    <w:semiHidden/>
    <w:rsid w:val="00033B80"/>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11763</Words>
  <Characters>64697</Characters>
  <Application>Microsoft Macintosh Word</Application>
  <DocSecurity>0</DocSecurity>
  <Lines>539</Lines>
  <Paragraphs>152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van Duin</dc:creator>
  <cp:keywords/>
  <dc:description/>
  <cp:lastModifiedBy>therese van amelsvoort</cp:lastModifiedBy>
  <cp:revision>2</cp:revision>
  <dcterms:created xsi:type="dcterms:W3CDTF">2019-02-27T18:14:00Z</dcterms:created>
  <dcterms:modified xsi:type="dcterms:W3CDTF">2019-02-27T18:14:00Z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http://www.zotero.org/styles/psychological-medicine</vt:lpwstr>
  </property>
  <property fmtid="{D5CDD505-2E9C-101B-9397-08002B2CF9AE}" pid="4" name="Mendeley Unique User Id_1">
    <vt:lpwstr>96aebb59-1344-3e91-b69f-2ae86d67b447</vt:lpwstr>
  </property>
</Properties>
</file>