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D6" w:rsidRPr="00805AD6" w:rsidRDefault="00805AD6" w:rsidP="00805AD6">
      <w:pPr>
        <w:spacing w:after="100" w:afterAutospacing="1"/>
        <w:rPr>
          <w:b/>
          <w:sz w:val="24"/>
          <w:szCs w:val="24"/>
          <w:lang w:eastAsia="zh-CN"/>
        </w:rPr>
      </w:pPr>
      <w:r w:rsidRPr="00805AD6">
        <w:rPr>
          <w:b/>
          <w:sz w:val="24"/>
          <w:szCs w:val="24"/>
          <w:lang w:eastAsia="zh-CN"/>
        </w:rPr>
        <w:t>Supplementary Information</w:t>
      </w:r>
    </w:p>
    <w:p w:rsidR="00805AD6" w:rsidRPr="00805AD6" w:rsidRDefault="00805AD6" w:rsidP="00805AD6">
      <w:pPr>
        <w:spacing w:after="100" w:afterAutospacing="1"/>
        <w:rPr>
          <w:b/>
          <w:sz w:val="24"/>
          <w:szCs w:val="24"/>
          <w:lang w:eastAsia="zh-CN"/>
        </w:rPr>
      </w:pPr>
      <w:r w:rsidRPr="00805AD6">
        <w:rPr>
          <w:b/>
          <w:sz w:val="24"/>
          <w:szCs w:val="24"/>
          <w:lang w:eastAsia="zh-CN"/>
        </w:rPr>
        <w:t xml:space="preserve">Heritability of </w:t>
      </w:r>
      <w:r w:rsidR="0058402D" w:rsidRPr="0058402D">
        <w:rPr>
          <w:b/>
          <w:sz w:val="24"/>
          <w:szCs w:val="24"/>
          <w:lang w:eastAsia="zh-CN"/>
        </w:rPr>
        <w:t xml:space="preserve">Reflexive </w:t>
      </w:r>
      <w:r w:rsidR="0058402D" w:rsidRPr="0058402D">
        <w:rPr>
          <w:rFonts w:hint="eastAsia"/>
          <w:b/>
          <w:sz w:val="24"/>
          <w:szCs w:val="24"/>
          <w:lang w:eastAsia="zh-CN"/>
        </w:rPr>
        <w:t>Social Attention</w:t>
      </w:r>
      <w:r w:rsidR="0058402D" w:rsidRPr="0058402D">
        <w:rPr>
          <w:b/>
          <w:sz w:val="24"/>
          <w:szCs w:val="24"/>
          <w:lang w:eastAsia="zh-CN"/>
        </w:rPr>
        <w:t xml:space="preserve"> Triggered by Eye Gaze and Walking </w:t>
      </w:r>
      <w:r w:rsidR="0058402D" w:rsidRPr="0058402D">
        <w:rPr>
          <w:rFonts w:hint="eastAsia"/>
          <w:b/>
          <w:sz w:val="24"/>
          <w:szCs w:val="24"/>
          <w:lang w:eastAsia="zh-CN"/>
        </w:rPr>
        <w:t>D</w:t>
      </w:r>
      <w:r w:rsidR="0058402D" w:rsidRPr="0058402D">
        <w:rPr>
          <w:b/>
          <w:sz w:val="24"/>
          <w:szCs w:val="24"/>
          <w:lang w:eastAsia="zh-CN"/>
        </w:rPr>
        <w:t>irection</w:t>
      </w:r>
      <w:r w:rsidRPr="00805AD6">
        <w:rPr>
          <w:b/>
          <w:sz w:val="24"/>
          <w:szCs w:val="24"/>
          <w:lang w:eastAsia="zh-CN"/>
        </w:rPr>
        <w:t xml:space="preserve">: </w:t>
      </w:r>
      <w:r w:rsidRPr="00805AD6">
        <w:rPr>
          <w:rFonts w:hint="eastAsia"/>
          <w:b/>
          <w:sz w:val="24"/>
          <w:szCs w:val="24"/>
          <w:lang w:eastAsia="zh-CN"/>
        </w:rPr>
        <w:t xml:space="preserve">Common </w:t>
      </w:r>
      <w:r w:rsidRPr="00805AD6">
        <w:rPr>
          <w:b/>
          <w:sz w:val="24"/>
          <w:szCs w:val="24"/>
          <w:lang w:eastAsia="zh-CN"/>
        </w:rPr>
        <w:t xml:space="preserve">and Unique </w:t>
      </w:r>
      <w:r w:rsidRPr="00805AD6">
        <w:rPr>
          <w:rFonts w:hint="eastAsia"/>
          <w:b/>
          <w:sz w:val="24"/>
          <w:szCs w:val="24"/>
          <w:lang w:eastAsia="zh-CN"/>
        </w:rPr>
        <w:t>Gene</w:t>
      </w:r>
      <w:r w:rsidRPr="00805AD6">
        <w:rPr>
          <w:b/>
          <w:sz w:val="24"/>
          <w:szCs w:val="24"/>
          <w:lang w:eastAsia="zh-CN"/>
        </w:rPr>
        <w:t>tic</w:t>
      </w:r>
      <w:r w:rsidRPr="00805AD6" w:rsidDel="00BB02EA">
        <w:rPr>
          <w:rFonts w:hint="eastAsia"/>
          <w:b/>
          <w:sz w:val="24"/>
          <w:szCs w:val="24"/>
          <w:lang w:eastAsia="zh-CN"/>
        </w:rPr>
        <w:t xml:space="preserve"> </w:t>
      </w:r>
      <w:r w:rsidRPr="00805AD6">
        <w:rPr>
          <w:b/>
          <w:sz w:val="24"/>
          <w:szCs w:val="24"/>
          <w:lang w:eastAsia="zh-CN"/>
        </w:rPr>
        <w:t>Underpinnings</w:t>
      </w:r>
    </w:p>
    <w:p w:rsidR="00805AD6" w:rsidRPr="00805AD6" w:rsidRDefault="00805AD6" w:rsidP="00805AD6">
      <w:pPr>
        <w:spacing w:line="360" w:lineRule="auto"/>
        <w:outlineLvl w:val="0"/>
        <w:rPr>
          <w:sz w:val="24"/>
          <w:szCs w:val="24"/>
        </w:rPr>
      </w:pPr>
      <w:r w:rsidRPr="00805AD6">
        <w:rPr>
          <w:rFonts w:hint="eastAsia"/>
          <w:sz w:val="24"/>
          <w:szCs w:val="24"/>
        </w:rPr>
        <w:t>Li Wang</w:t>
      </w:r>
      <w:r w:rsidRPr="00805AD6">
        <w:rPr>
          <w:rFonts w:hint="eastAsia"/>
          <w:sz w:val="24"/>
          <w:szCs w:val="24"/>
          <w:vertAlign w:val="superscript"/>
        </w:rPr>
        <w:t>1</w:t>
      </w:r>
      <w:r w:rsidRPr="00805AD6">
        <w:rPr>
          <w:sz w:val="24"/>
          <w:szCs w:val="24"/>
          <w:vertAlign w:val="superscript"/>
        </w:rPr>
        <w:t>,2</w:t>
      </w:r>
      <w:r w:rsidRPr="00805AD6">
        <w:rPr>
          <w:rFonts w:hint="eastAsia"/>
          <w:sz w:val="24"/>
          <w:szCs w:val="24"/>
          <w:lang w:eastAsia="zh-CN"/>
        </w:rPr>
        <w:t>,</w:t>
      </w:r>
      <w:r w:rsidRPr="00805AD6">
        <w:rPr>
          <w:rFonts w:hint="eastAsia"/>
          <w:sz w:val="24"/>
          <w:szCs w:val="24"/>
        </w:rPr>
        <w:t xml:space="preserve"> Ying Wang</w:t>
      </w:r>
      <w:r w:rsidRPr="00805AD6">
        <w:rPr>
          <w:rFonts w:hint="eastAsia"/>
          <w:sz w:val="24"/>
          <w:szCs w:val="24"/>
          <w:vertAlign w:val="superscript"/>
        </w:rPr>
        <w:t>1</w:t>
      </w:r>
      <w:r w:rsidRPr="00805AD6">
        <w:rPr>
          <w:sz w:val="24"/>
          <w:szCs w:val="24"/>
          <w:vertAlign w:val="superscript"/>
        </w:rPr>
        <w:t>,2</w:t>
      </w:r>
      <w:r w:rsidRPr="00805AD6">
        <w:rPr>
          <w:rFonts w:hint="eastAsia"/>
          <w:sz w:val="24"/>
          <w:szCs w:val="24"/>
        </w:rPr>
        <w:t>, Qian Xu</w:t>
      </w:r>
      <w:r w:rsidRPr="00805AD6">
        <w:rPr>
          <w:rFonts w:hint="eastAsia"/>
          <w:sz w:val="24"/>
          <w:szCs w:val="24"/>
          <w:vertAlign w:val="superscript"/>
        </w:rPr>
        <w:t>1</w:t>
      </w:r>
      <w:r w:rsidRPr="00805AD6">
        <w:rPr>
          <w:rFonts w:hint="eastAsia"/>
          <w:sz w:val="24"/>
          <w:szCs w:val="24"/>
          <w:vertAlign w:val="superscript"/>
          <w:lang w:eastAsia="zh-CN"/>
        </w:rPr>
        <w:t>,2</w:t>
      </w:r>
      <w:r w:rsidRPr="00805AD6">
        <w:rPr>
          <w:rFonts w:hint="eastAsia"/>
          <w:sz w:val="24"/>
          <w:szCs w:val="24"/>
          <w:lang w:eastAsia="zh-CN"/>
        </w:rPr>
        <w:t xml:space="preserve">, </w:t>
      </w:r>
      <w:r w:rsidRPr="00805AD6">
        <w:rPr>
          <w:rFonts w:hint="eastAsia"/>
          <w:sz w:val="24"/>
          <w:szCs w:val="24"/>
        </w:rPr>
        <w:t>Dong Liu</w:t>
      </w:r>
      <w:r w:rsidRPr="00805AD6">
        <w:rPr>
          <w:rFonts w:hint="eastAsia"/>
          <w:sz w:val="24"/>
          <w:szCs w:val="24"/>
          <w:vertAlign w:val="superscript"/>
        </w:rPr>
        <w:t>1</w:t>
      </w:r>
      <w:r w:rsidRPr="00805AD6">
        <w:rPr>
          <w:rFonts w:hint="eastAsia"/>
          <w:sz w:val="24"/>
          <w:szCs w:val="24"/>
          <w:vertAlign w:val="superscript"/>
          <w:lang w:eastAsia="zh-CN"/>
        </w:rPr>
        <w:t>,2</w:t>
      </w:r>
      <w:r w:rsidRPr="00805AD6">
        <w:rPr>
          <w:rFonts w:hint="eastAsia"/>
          <w:sz w:val="24"/>
          <w:szCs w:val="24"/>
        </w:rPr>
        <w:t>,</w:t>
      </w:r>
      <w:r w:rsidRPr="00805AD6">
        <w:rPr>
          <w:sz w:val="24"/>
          <w:szCs w:val="24"/>
        </w:rPr>
        <w:t xml:space="preserve"> Haoyue Ji</w:t>
      </w:r>
      <w:r w:rsidRPr="00805AD6">
        <w:rPr>
          <w:rFonts w:hint="eastAsia"/>
          <w:sz w:val="24"/>
          <w:szCs w:val="24"/>
          <w:vertAlign w:val="superscript"/>
        </w:rPr>
        <w:t>1</w:t>
      </w:r>
      <w:r w:rsidRPr="00805AD6">
        <w:rPr>
          <w:rFonts w:hint="eastAsia"/>
          <w:sz w:val="24"/>
          <w:szCs w:val="24"/>
          <w:vertAlign w:val="superscript"/>
          <w:lang w:eastAsia="zh-CN"/>
        </w:rPr>
        <w:t>,2</w:t>
      </w:r>
      <w:r w:rsidRPr="00805AD6">
        <w:rPr>
          <w:rFonts w:hint="eastAsia"/>
          <w:sz w:val="24"/>
          <w:szCs w:val="24"/>
        </w:rPr>
        <w:t>,</w:t>
      </w:r>
      <w:r w:rsidRPr="00805AD6">
        <w:rPr>
          <w:sz w:val="24"/>
          <w:szCs w:val="24"/>
        </w:rPr>
        <w:t xml:space="preserve"> Yiwen Yu</w:t>
      </w:r>
      <w:r w:rsidRPr="00805AD6">
        <w:rPr>
          <w:rFonts w:hint="eastAsia"/>
          <w:sz w:val="24"/>
          <w:szCs w:val="24"/>
          <w:vertAlign w:val="superscript"/>
        </w:rPr>
        <w:t>1</w:t>
      </w:r>
      <w:r w:rsidRPr="00805AD6">
        <w:rPr>
          <w:sz w:val="24"/>
          <w:szCs w:val="24"/>
          <w:vertAlign w:val="superscript"/>
        </w:rPr>
        <w:t>,2</w:t>
      </w:r>
      <w:r w:rsidRPr="00805AD6">
        <w:rPr>
          <w:sz w:val="24"/>
          <w:szCs w:val="24"/>
        </w:rPr>
        <w:t>,</w:t>
      </w:r>
      <w:r w:rsidRPr="00805AD6">
        <w:rPr>
          <w:rFonts w:hint="eastAsia"/>
          <w:sz w:val="24"/>
          <w:szCs w:val="24"/>
        </w:rPr>
        <w:t xml:space="preserve"> </w:t>
      </w:r>
      <w:r w:rsidR="0058402D" w:rsidRPr="0058402D">
        <w:rPr>
          <w:sz w:val="24"/>
          <w:szCs w:val="24"/>
        </w:rPr>
        <w:t>Zhaoqi Hu</w:t>
      </w:r>
      <w:r w:rsidR="0058402D" w:rsidRPr="009D5A50">
        <w:rPr>
          <w:rFonts w:hint="eastAsia"/>
          <w:sz w:val="28"/>
          <w:szCs w:val="32"/>
          <w:vertAlign w:val="superscript"/>
        </w:rPr>
        <w:t>1</w:t>
      </w:r>
      <w:r w:rsidR="0058402D">
        <w:rPr>
          <w:sz w:val="28"/>
          <w:szCs w:val="32"/>
          <w:vertAlign w:val="superscript"/>
        </w:rPr>
        <w:t>,2</w:t>
      </w:r>
      <w:r w:rsidR="0058402D">
        <w:rPr>
          <w:sz w:val="28"/>
          <w:szCs w:val="32"/>
        </w:rPr>
        <w:t xml:space="preserve">, </w:t>
      </w:r>
      <w:r w:rsidR="0058402D" w:rsidRPr="0058402D">
        <w:rPr>
          <w:sz w:val="24"/>
          <w:szCs w:val="24"/>
        </w:rPr>
        <w:t>Peijun Yuan</w:t>
      </w:r>
      <w:r w:rsidR="0058402D" w:rsidRPr="009D5A50">
        <w:rPr>
          <w:rFonts w:hint="eastAsia"/>
          <w:sz w:val="28"/>
          <w:szCs w:val="32"/>
          <w:vertAlign w:val="superscript"/>
        </w:rPr>
        <w:t>1</w:t>
      </w:r>
      <w:r w:rsidR="0058402D">
        <w:rPr>
          <w:sz w:val="28"/>
          <w:szCs w:val="32"/>
          <w:vertAlign w:val="superscript"/>
        </w:rPr>
        <w:t>,2</w:t>
      </w:r>
      <w:r w:rsidR="0058402D">
        <w:rPr>
          <w:sz w:val="28"/>
          <w:szCs w:val="32"/>
        </w:rPr>
        <w:t xml:space="preserve">, </w:t>
      </w:r>
      <w:r w:rsidRPr="00805AD6">
        <w:rPr>
          <w:rFonts w:hint="eastAsia"/>
          <w:sz w:val="24"/>
          <w:szCs w:val="24"/>
        </w:rPr>
        <w:t>&amp; Yi Jiang</w:t>
      </w:r>
      <w:r w:rsidRPr="00805AD6">
        <w:rPr>
          <w:rFonts w:hint="eastAsia"/>
          <w:sz w:val="24"/>
          <w:szCs w:val="24"/>
          <w:vertAlign w:val="superscript"/>
        </w:rPr>
        <w:t>1</w:t>
      </w:r>
      <w:r w:rsidRPr="00805AD6">
        <w:rPr>
          <w:sz w:val="24"/>
          <w:szCs w:val="24"/>
          <w:vertAlign w:val="superscript"/>
        </w:rPr>
        <w:t>,2</w:t>
      </w:r>
      <w:r w:rsidRPr="00805AD6">
        <w:rPr>
          <w:rFonts w:hint="eastAsia"/>
          <w:sz w:val="24"/>
          <w:szCs w:val="24"/>
          <w:vertAlign w:val="superscript"/>
        </w:rPr>
        <w:t xml:space="preserve"> *</w:t>
      </w:r>
      <w:bookmarkStart w:id="0" w:name="_GoBack"/>
      <w:bookmarkEnd w:id="0"/>
    </w:p>
    <w:p w:rsidR="00805AD6" w:rsidRDefault="00805AD6" w:rsidP="00805AD6">
      <w:pPr>
        <w:spacing w:after="100" w:afterAutospacing="1"/>
        <w:rPr>
          <w:sz w:val="24"/>
          <w:szCs w:val="24"/>
          <w:lang w:eastAsia="zh-CN"/>
        </w:rPr>
      </w:pPr>
    </w:p>
    <w:p w:rsidR="00805AD6" w:rsidRPr="009C37F4" w:rsidRDefault="00805AD6" w:rsidP="00805AD6">
      <w:pPr>
        <w:spacing w:after="100" w:afterAutospacing="1"/>
        <w:rPr>
          <w:rFonts w:cs="Calibri"/>
          <w:b/>
          <w:color w:val="000000"/>
          <w:sz w:val="24"/>
          <w:szCs w:val="24"/>
          <w:lang w:eastAsia="zh-CN"/>
        </w:rPr>
      </w:pPr>
      <w:r w:rsidRPr="009C37F4">
        <w:rPr>
          <w:b/>
          <w:sz w:val="24"/>
          <w:szCs w:val="24"/>
          <w:lang w:eastAsia="zh-CN"/>
        </w:rPr>
        <w:t>Genetic</w:t>
      </w:r>
      <w:r w:rsidRPr="009C37F4">
        <w:rPr>
          <w:b/>
          <w:color w:val="000000"/>
          <w:sz w:val="24"/>
          <w:szCs w:val="24"/>
          <w:lang w:eastAsia="zh-CN"/>
        </w:rPr>
        <w:t xml:space="preserve"> </w:t>
      </w:r>
      <w:r w:rsidRPr="009C37F4">
        <w:rPr>
          <w:b/>
          <w:sz w:val="24"/>
          <w:szCs w:val="24"/>
          <w:lang w:eastAsia="zh-CN"/>
        </w:rPr>
        <w:t>Data</w:t>
      </w:r>
      <w:r w:rsidRPr="009C37F4">
        <w:rPr>
          <w:rFonts w:cs="Calibri"/>
          <w:b/>
          <w:color w:val="000000"/>
          <w:sz w:val="24"/>
          <w:szCs w:val="24"/>
          <w:lang w:eastAsia="zh-CN"/>
        </w:rPr>
        <w:t xml:space="preserve"> </w:t>
      </w:r>
      <w:r w:rsidRPr="009C37F4">
        <w:rPr>
          <w:b/>
          <w:sz w:val="24"/>
          <w:szCs w:val="24"/>
          <w:lang w:eastAsia="zh-CN"/>
        </w:rPr>
        <w:t>Analysis</w:t>
      </w:r>
    </w:p>
    <w:p w:rsidR="00805AD6" w:rsidRPr="007F1C94" w:rsidRDefault="00805AD6" w:rsidP="00805AD6">
      <w:pPr>
        <w:spacing w:after="100" w:afterAutospacing="1"/>
        <w:rPr>
          <w:i/>
          <w:color w:val="000000"/>
          <w:sz w:val="24"/>
          <w:szCs w:val="24"/>
          <w:lang w:eastAsia="zh-CN"/>
        </w:rPr>
      </w:pPr>
      <w:r w:rsidRPr="007F1C94">
        <w:rPr>
          <w:i/>
          <w:sz w:val="24"/>
          <w:szCs w:val="24"/>
        </w:rPr>
        <w:t>Univariate</w:t>
      </w:r>
      <w:r w:rsidRPr="007F1C94">
        <w:rPr>
          <w:i/>
          <w:color w:val="000000"/>
          <w:sz w:val="24"/>
          <w:szCs w:val="24"/>
        </w:rPr>
        <w:t xml:space="preserve"> Analysis</w:t>
      </w:r>
    </w:p>
    <w:p w:rsidR="00253E2C" w:rsidRDefault="00805AD6" w:rsidP="00253E2C">
      <w:pPr>
        <w:spacing w:after="100" w:afterAutospacing="1" w:line="360" w:lineRule="auto"/>
        <w:rPr>
          <w:sz w:val="24"/>
          <w:szCs w:val="24"/>
          <w:lang w:eastAsia="zh-CN"/>
        </w:rPr>
      </w:pPr>
      <w:r w:rsidRPr="007F1C94">
        <w:rPr>
          <w:sz w:val="24"/>
          <w:szCs w:val="24"/>
          <w:lang w:eastAsia="zh-CN"/>
        </w:rPr>
        <w:t xml:space="preserve">To assess the relative importance of genetic and environmental factors to the total phenotypic variations of reflexive attentional orienting effects (i.e., gaze induced attentional effect, walking direction induced attentional effect, and arrow induced attentional effect) and the core social attention ability (i.e., </w:t>
      </w:r>
      <w:r w:rsidRPr="007F1C94">
        <w:rPr>
          <w:rFonts w:cs="Calibri"/>
          <w:sz w:val="24"/>
          <w:szCs w:val="24"/>
          <w:lang w:eastAsia="zh-CN"/>
        </w:rPr>
        <w:t>the differentiation between social and non-social attentional effect</w:t>
      </w:r>
      <w:r w:rsidRPr="007F1C94">
        <w:rPr>
          <w:sz w:val="24"/>
          <w:szCs w:val="24"/>
          <w:lang w:eastAsia="zh-CN"/>
        </w:rPr>
        <w:t xml:space="preserve">), univariate genetic analyses, as described in </w:t>
      </w:r>
      <w:r w:rsidRPr="007F1C94">
        <w:rPr>
          <w:sz w:val="24"/>
          <w:szCs w:val="24"/>
          <w:lang w:eastAsia="zh-CN"/>
        </w:rPr>
        <w:fldChar w:fldCharType="begin"/>
      </w:r>
      <w:r>
        <w:rPr>
          <w:sz w:val="24"/>
          <w:szCs w:val="24"/>
          <w:lang w:eastAsia="zh-CN"/>
        </w:rPr>
        <w:instrText xml:space="preserve"> ADDIN EN.CITE &lt;EndNote&gt;&lt;Cite AuthorYear="1"&gt;&lt;Author&gt;Neale&lt;/Author&gt;&lt;Year&gt;1992&lt;/Year&gt;&lt;RecNum&gt;59&lt;/RecNum&gt;&lt;DisplayText&gt;Neale and Cardon (1992)&lt;/DisplayText&gt;&lt;record&gt;&lt;rec-number&gt;59&lt;/rec-number&gt;&lt;foreign-keys&gt;&lt;key app="EN" db-id="sxarvdxeid9de8exrzjv2stixtpss0fz9zde" timestamp="1496727870"&gt;59&lt;/key&gt;&lt;/foreign-keys&gt;&lt;ref-type name="Book"&gt;6&lt;/ref-type&gt;&lt;contributors&gt;&lt;authors&gt;&lt;author&gt;Neale, MC&lt;/author&gt;&lt;author&gt;Cardon, LR&lt;/author&gt;&lt;/authors&gt;&lt;/contributors&gt;&lt;titles&gt;&lt;title&gt;Methodology for genetic studies of twins and families. 1992&lt;/title&gt;&lt;/titles&gt;&lt;dates&gt;&lt;year&gt;1992&lt;/year&gt;&lt;/dates&gt;&lt;publisher&gt;Kluwer: Dordrecht&lt;/publisher&gt;&lt;urls&gt;&lt;/urls&gt;&lt;/record&gt;&lt;/Cite&gt;&lt;/EndNote&gt;</w:instrText>
      </w:r>
      <w:r w:rsidRPr="007F1C94">
        <w:rPr>
          <w:sz w:val="24"/>
          <w:szCs w:val="24"/>
          <w:lang w:eastAsia="zh-CN"/>
        </w:rPr>
        <w:fldChar w:fldCharType="separate"/>
      </w:r>
      <w:r>
        <w:rPr>
          <w:noProof/>
          <w:sz w:val="24"/>
          <w:szCs w:val="24"/>
          <w:lang w:eastAsia="zh-CN"/>
        </w:rPr>
        <w:t>Neale and Cardon (1992)</w:t>
      </w:r>
      <w:r w:rsidRPr="007F1C94">
        <w:rPr>
          <w:sz w:val="24"/>
          <w:szCs w:val="24"/>
          <w:lang w:eastAsia="zh-CN"/>
        </w:rPr>
        <w:fldChar w:fldCharType="end"/>
      </w:r>
      <w:r w:rsidRPr="007F1C94">
        <w:rPr>
          <w:sz w:val="24"/>
          <w:szCs w:val="24"/>
          <w:lang w:eastAsia="zh-CN"/>
        </w:rPr>
        <w:t xml:space="preserve">, were conducted with the statistical package Mx </w:t>
      </w:r>
      <w:r w:rsidRPr="007F1C94">
        <w:rPr>
          <w:sz w:val="24"/>
          <w:szCs w:val="24"/>
          <w:lang w:eastAsia="zh-CN"/>
        </w:rPr>
        <w:fldChar w:fldCharType="begin"/>
      </w:r>
      <w:r>
        <w:rPr>
          <w:sz w:val="24"/>
          <w:szCs w:val="24"/>
          <w:lang w:eastAsia="zh-CN"/>
        </w:rPr>
        <w:instrText xml:space="preserve"> ADDIN EN.CITE &lt;EndNote&gt;&lt;Cite&gt;&lt;Author&gt;Neale Michael&lt;/Author&gt;&lt;Year&gt;2003&lt;/Year&gt;&lt;RecNum&gt;60&lt;/RecNum&gt;&lt;DisplayText&gt;(Neale Michael&lt;style face="italic"&gt; et al.&lt;/style&gt;, 2003)&lt;/DisplayText&gt;&lt;record&gt;&lt;rec-number&gt;60&lt;/rec-number&gt;&lt;foreign-keys&gt;&lt;key app="EN" db-id="sxarvdxeid9de8exrzjv2stixtpss0fz9zde" timestamp="1496728105"&gt;60&lt;/key&gt;&lt;/foreign-keys&gt;&lt;ref-type name="Book"&gt;6&lt;/ref-type&gt;&lt;contributors&gt;&lt;authors&gt;&lt;author&gt;Neale Michael, C&lt;/author&gt;&lt;author&gt;Boker Steven, M&lt;/author&gt;&lt;author&gt;Xie Gary, Maes Hermine H&lt;/author&gt;&lt;/authors&gt;&lt;/contributors&gt;&lt;titles&gt;&lt;title&gt;Mx: Statistical Modeling&lt;/title&gt;&lt;/titles&gt;&lt;dates&gt;&lt;year&gt;2003&lt;/year&gt;&lt;/dates&gt;&lt;publisher&gt;Richmond: Virginia Commonwealth University, Department of Psychiatry&lt;/publisher&gt;&lt;urls&gt;&lt;/urls&gt;&lt;/record&gt;&lt;/Cite&gt;&lt;/EndNote&gt;</w:instrText>
      </w:r>
      <w:r w:rsidRPr="007F1C94">
        <w:rPr>
          <w:sz w:val="24"/>
          <w:szCs w:val="24"/>
          <w:lang w:eastAsia="zh-CN"/>
        </w:rPr>
        <w:fldChar w:fldCharType="separate"/>
      </w:r>
      <w:r>
        <w:rPr>
          <w:noProof/>
          <w:sz w:val="24"/>
          <w:szCs w:val="24"/>
          <w:lang w:eastAsia="zh-CN"/>
        </w:rPr>
        <w:t>(Neale Michael</w:t>
      </w:r>
      <w:r w:rsidRPr="006D6BD5">
        <w:rPr>
          <w:i/>
          <w:noProof/>
          <w:sz w:val="24"/>
          <w:szCs w:val="24"/>
          <w:lang w:eastAsia="zh-CN"/>
        </w:rPr>
        <w:t xml:space="preserve"> et al.</w:t>
      </w:r>
      <w:r>
        <w:rPr>
          <w:noProof/>
          <w:sz w:val="24"/>
          <w:szCs w:val="24"/>
          <w:lang w:eastAsia="zh-CN"/>
        </w:rPr>
        <w:t>, 2003)</w:t>
      </w:r>
      <w:r w:rsidRPr="007F1C94">
        <w:rPr>
          <w:sz w:val="24"/>
          <w:szCs w:val="24"/>
          <w:lang w:eastAsia="zh-CN"/>
        </w:rPr>
        <w:fldChar w:fldCharType="end"/>
      </w:r>
      <w:r w:rsidRPr="007F1C94">
        <w:rPr>
          <w:sz w:val="24"/>
          <w:szCs w:val="24"/>
          <w:lang w:eastAsia="zh-CN"/>
        </w:rPr>
        <w:t xml:space="preserve">. Linear structural equation models were separately fitted to variance-covariance matrices for MZ and DZ twins. These models assume that phenotypic variation arises from the factors of additive genetic (A), common environmental (C) and non-shared environmental (E) influences. The effect of additive genetic factors (A) is assumed to be the sum of multiple genes (polygene) whose effects are small and additive to form a quantitative phenotype. Common environment (C) is the effect that makes twins alike not from heredity but from the environment shared by family members. Non-shared environment (E) is the effect from individually unique environment that makes twins different, such as differential parental treatment, prenatal or postnatal traumas and peer group. Non-shared environment (E) also includes measurement errors. In order to reveal which factors significantly contribute to phenotypic variance, different models were systematically compared in terms of goodness-of-fit statistics and parsimony. These are the ACE model in which </w:t>
      </w:r>
      <w:r w:rsidRPr="007F1C94">
        <w:rPr>
          <w:sz w:val="24"/>
          <w:szCs w:val="24"/>
          <w:lang w:eastAsia="zh-CN"/>
        </w:rPr>
        <w:lastRenderedPageBreak/>
        <w:t>phenotypic covariances are explained by A, C and E; the AE model explained by just A and E; the CE model explained by just C and E; and the E-only model. After fitting the full ACE model to the data, we also separately tested the AE, CE, and E submodels and compared to the full models. Chi-square statistic was used to assess the goodness-of-fit of each model, where low values indicate a good fit. If dropping a factor significantly reduced the goodness of fit, the factor was retained in the model, otherwise the factor was dropped and the model with a fewer number of factors was chosen (i.e., the more parsimonious model). In addition, different models were also compared using Akaike’s Information Criteria (AIC) that reflects a model’s goodness of fit as well as its parsimony, and the model that results in the smallest AIC is regarded as the best.</w:t>
      </w:r>
    </w:p>
    <w:p w:rsidR="009C37F4" w:rsidRPr="007F1C94" w:rsidRDefault="009C37F4" w:rsidP="00253E2C">
      <w:pPr>
        <w:spacing w:after="100" w:afterAutospacing="1" w:line="360" w:lineRule="auto"/>
        <w:ind w:firstLineChars="200" w:firstLine="480"/>
        <w:rPr>
          <w:sz w:val="24"/>
          <w:szCs w:val="24"/>
          <w:lang w:eastAsia="zh-CN"/>
        </w:rPr>
      </w:pPr>
      <w:r w:rsidRPr="007F1C94">
        <w:rPr>
          <w:sz w:val="24"/>
          <w:szCs w:val="24"/>
          <w:lang w:eastAsia="zh-CN"/>
        </w:rPr>
        <w:t xml:space="preserve">Table 1 shows </w:t>
      </w:r>
      <w:r w:rsidRPr="007F1C94">
        <w:rPr>
          <w:sz w:val="24"/>
          <w:szCs w:val="24"/>
        </w:rPr>
        <w:t>the</w:t>
      </w:r>
      <w:r w:rsidRPr="007F1C94">
        <w:rPr>
          <w:sz w:val="24"/>
          <w:szCs w:val="24"/>
          <w:lang w:eastAsia="zh-CN"/>
        </w:rPr>
        <w:t xml:space="preserve"> fit statistics for the full and the best genetic models for reflexive attentional orienting effects and the core social attention ability. In Experiment 1, for gaze induced attentional effect, dropping the A factor from the full model (</w:t>
      </w:r>
      <w:bookmarkStart w:id="1" w:name="OLE_LINK82"/>
      <w:bookmarkStart w:id="2" w:name="OLE_LINK83"/>
      <w:r w:rsidRPr="007F1C94">
        <w:rPr>
          <w:sz w:val="24"/>
          <w:szCs w:val="24"/>
          <w:lang w:eastAsia="zh-CN"/>
        </w:rPr>
        <w:t>i.e., CE model</w:t>
      </w:r>
      <w:bookmarkEnd w:id="1"/>
      <w:bookmarkEnd w:id="2"/>
      <w:r w:rsidRPr="007F1C94">
        <w:rPr>
          <w:sz w:val="24"/>
          <w:szCs w:val="24"/>
          <w:lang w:eastAsia="zh-CN"/>
        </w:rPr>
        <w:t>) led to significant worsening of the model fit (</w:t>
      </w:r>
      <w:bookmarkStart w:id="3" w:name="OLE_LINK90"/>
      <w:bookmarkStart w:id="4" w:name="OLE_LINK93"/>
      <w:r w:rsidRPr="007F1C94">
        <w:rPr>
          <w:sz w:val="24"/>
          <w:szCs w:val="24"/>
          <w:lang w:eastAsia="zh-CN"/>
        </w:rPr>
        <w:t>Δχ</w:t>
      </w:r>
      <w:r w:rsidRPr="007F1C94">
        <w:rPr>
          <w:sz w:val="24"/>
          <w:szCs w:val="24"/>
          <w:vertAlign w:val="superscript"/>
          <w:lang w:eastAsia="zh-CN"/>
        </w:rPr>
        <w:t xml:space="preserve">2 </w:t>
      </w:r>
      <w:r w:rsidRPr="007F1C94">
        <w:rPr>
          <w:sz w:val="24"/>
          <w:szCs w:val="24"/>
          <w:lang w:eastAsia="zh-CN"/>
        </w:rPr>
        <w:t xml:space="preserve">(1) = 6.64, </w:t>
      </w:r>
      <w:bookmarkStart w:id="5" w:name="OLE_LINK153"/>
      <w:bookmarkStart w:id="6" w:name="OLE_LINK154"/>
      <w:r w:rsidRPr="007F1C94">
        <w:rPr>
          <w:i/>
          <w:sz w:val="24"/>
          <w:szCs w:val="24"/>
          <w:lang w:eastAsia="zh-CN"/>
        </w:rPr>
        <w:t>p</w:t>
      </w:r>
      <w:r w:rsidRPr="007F1C94">
        <w:rPr>
          <w:sz w:val="24"/>
          <w:szCs w:val="24"/>
          <w:lang w:eastAsia="zh-CN"/>
        </w:rPr>
        <w:t xml:space="preserve"> = .0</w:t>
      </w:r>
      <w:bookmarkEnd w:id="3"/>
      <w:bookmarkEnd w:id="4"/>
      <w:bookmarkEnd w:id="5"/>
      <w:bookmarkEnd w:id="6"/>
      <w:r w:rsidRPr="007F1C94">
        <w:rPr>
          <w:sz w:val="24"/>
          <w:szCs w:val="24"/>
          <w:lang w:eastAsia="zh-CN"/>
        </w:rPr>
        <w:t>2). In contrast, dropping the C factor (</w:t>
      </w:r>
      <w:bookmarkStart w:id="7" w:name="OLE_LINK80"/>
      <w:bookmarkStart w:id="8" w:name="OLE_LINK81"/>
      <w:r w:rsidRPr="007F1C94">
        <w:rPr>
          <w:sz w:val="24"/>
          <w:szCs w:val="24"/>
          <w:lang w:eastAsia="zh-CN"/>
        </w:rPr>
        <w:t>i.e., AE model</w:t>
      </w:r>
      <w:bookmarkEnd w:id="7"/>
      <w:bookmarkEnd w:id="8"/>
      <w:r w:rsidRPr="007F1C94">
        <w:rPr>
          <w:sz w:val="24"/>
          <w:szCs w:val="24"/>
          <w:lang w:eastAsia="zh-CN"/>
        </w:rPr>
        <w:t>) did not reduce the fit of the model (Δχ</w:t>
      </w:r>
      <w:r w:rsidRPr="007F1C94">
        <w:rPr>
          <w:sz w:val="24"/>
          <w:szCs w:val="24"/>
          <w:vertAlign w:val="superscript"/>
          <w:lang w:eastAsia="zh-CN"/>
        </w:rPr>
        <w:t xml:space="preserve">2 </w:t>
      </w:r>
      <w:r w:rsidRPr="007F1C94">
        <w:rPr>
          <w:sz w:val="24"/>
          <w:szCs w:val="24"/>
          <w:lang w:eastAsia="zh-CN"/>
        </w:rPr>
        <w:t>(1) = 0). The C factor was thus dropped and AE model was chosen as the best model. For walking direction induced attentional effect, the most parsimonious and best-fitting model was the AE model (CE: Δχ</w:t>
      </w:r>
      <w:r w:rsidRPr="007F1C94">
        <w:rPr>
          <w:sz w:val="24"/>
          <w:szCs w:val="24"/>
          <w:vertAlign w:val="superscript"/>
          <w:lang w:eastAsia="zh-CN"/>
        </w:rPr>
        <w:t xml:space="preserve">2 </w:t>
      </w:r>
      <w:r w:rsidRPr="007F1C94">
        <w:rPr>
          <w:sz w:val="24"/>
          <w:szCs w:val="24"/>
          <w:lang w:eastAsia="zh-CN"/>
        </w:rPr>
        <w:t xml:space="preserve">(1) = 14.52, </w:t>
      </w:r>
      <w:r w:rsidRPr="007F1C94">
        <w:rPr>
          <w:i/>
          <w:sz w:val="24"/>
          <w:szCs w:val="24"/>
          <w:lang w:eastAsia="zh-CN"/>
        </w:rPr>
        <w:t>p</w:t>
      </w:r>
      <w:r w:rsidRPr="007F1C94">
        <w:rPr>
          <w:sz w:val="24"/>
          <w:szCs w:val="24"/>
          <w:lang w:eastAsia="zh-CN"/>
        </w:rPr>
        <w:t xml:space="preserve"> = 0.001; AE: Δχ</w:t>
      </w:r>
      <w:r w:rsidRPr="007F1C94">
        <w:rPr>
          <w:sz w:val="24"/>
          <w:szCs w:val="24"/>
          <w:vertAlign w:val="superscript"/>
          <w:lang w:eastAsia="zh-CN"/>
        </w:rPr>
        <w:t xml:space="preserve">2 </w:t>
      </w:r>
      <w:r w:rsidRPr="007F1C94">
        <w:rPr>
          <w:sz w:val="24"/>
          <w:szCs w:val="24"/>
          <w:lang w:eastAsia="zh-CN"/>
        </w:rPr>
        <w:t>(1) = 0). In Experiment 2, for gaze induced attentional effect, the AE model also provided the best fit (CE: Δχ</w:t>
      </w:r>
      <w:r w:rsidRPr="007F1C94">
        <w:rPr>
          <w:sz w:val="24"/>
          <w:szCs w:val="24"/>
          <w:vertAlign w:val="superscript"/>
          <w:lang w:eastAsia="zh-CN"/>
        </w:rPr>
        <w:t xml:space="preserve">2 </w:t>
      </w:r>
      <w:r w:rsidRPr="007F1C94">
        <w:rPr>
          <w:sz w:val="24"/>
          <w:szCs w:val="24"/>
          <w:lang w:eastAsia="zh-CN"/>
        </w:rPr>
        <w:t xml:space="preserve">(1) = 4.62, </w:t>
      </w:r>
      <w:r w:rsidRPr="007F1C94">
        <w:rPr>
          <w:i/>
          <w:sz w:val="24"/>
          <w:szCs w:val="24"/>
          <w:lang w:eastAsia="zh-CN"/>
        </w:rPr>
        <w:t>p</w:t>
      </w:r>
      <w:r w:rsidRPr="007F1C94">
        <w:rPr>
          <w:sz w:val="24"/>
          <w:szCs w:val="24"/>
          <w:lang w:eastAsia="zh-CN"/>
        </w:rPr>
        <w:t xml:space="preserve"> = .09; AE: Δχ</w:t>
      </w:r>
      <w:r w:rsidRPr="007F1C94">
        <w:rPr>
          <w:sz w:val="24"/>
          <w:szCs w:val="24"/>
          <w:vertAlign w:val="superscript"/>
          <w:lang w:eastAsia="zh-CN"/>
        </w:rPr>
        <w:t xml:space="preserve">2 </w:t>
      </w:r>
      <w:r w:rsidRPr="007F1C94">
        <w:rPr>
          <w:sz w:val="24"/>
          <w:szCs w:val="24"/>
          <w:lang w:eastAsia="zh-CN"/>
        </w:rPr>
        <w:t>(1) = 0), which is consistent with that observed in Experiment 1. For arrow induced attentional effect, a different pattern of results emerged. Dropping the A factor (i.e., CE model) or the C factor (i.e., AE model) did not show significant change in χ</w:t>
      </w:r>
      <w:r w:rsidRPr="007F1C94">
        <w:rPr>
          <w:sz w:val="24"/>
          <w:szCs w:val="24"/>
          <w:vertAlign w:val="superscript"/>
          <w:lang w:eastAsia="zh-CN"/>
        </w:rPr>
        <w:t xml:space="preserve">2 </w:t>
      </w:r>
      <w:r w:rsidRPr="007F1C94">
        <w:rPr>
          <w:sz w:val="24"/>
          <w:szCs w:val="24"/>
          <w:lang w:eastAsia="zh-CN"/>
        </w:rPr>
        <w:t>from the full model (CE: Δχ</w:t>
      </w:r>
      <w:r w:rsidRPr="007F1C94">
        <w:rPr>
          <w:sz w:val="24"/>
          <w:szCs w:val="24"/>
          <w:vertAlign w:val="superscript"/>
          <w:lang w:eastAsia="zh-CN"/>
        </w:rPr>
        <w:t xml:space="preserve">2 </w:t>
      </w:r>
      <w:r w:rsidRPr="007F1C94">
        <w:rPr>
          <w:sz w:val="24"/>
          <w:szCs w:val="24"/>
          <w:lang w:eastAsia="zh-CN"/>
        </w:rPr>
        <w:t>(1) = 0; AE: Δχ</w:t>
      </w:r>
      <w:r w:rsidRPr="007F1C94">
        <w:rPr>
          <w:sz w:val="24"/>
          <w:szCs w:val="24"/>
          <w:vertAlign w:val="superscript"/>
          <w:lang w:eastAsia="zh-CN"/>
        </w:rPr>
        <w:t xml:space="preserve">2 </w:t>
      </w:r>
      <w:r w:rsidRPr="007F1C94">
        <w:rPr>
          <w:sz w:val="24"/>
          <w:szCs w:val="24"/>
          <w:lang w:eastAsia="zh-CN"/>
        </w:rPr>
        <w:t>(1) = 0), and E-only model resulted in no significant decrement of the model fit (Δχ</w:t>
      </w:r>
      <w:r w:rsidRPr="007F1C94">
        <w:rPr>
          <w:sz w:val="24"/>
          <w:szCs w:val="24"/>
          <w:vertAlign w:val="superscript"/>
          <w:lang w:eastAsia="zh-CN"/>
        </w:rPr>
        <w:t xml:space="preserve">2 </w:t>
      </w:r>
      <w:r w:rsidRPr="007F1C94">
        <w:rPr>
          <w:sz w:val="24"/>
          <w:szCs w:val="24"/>
          <w:lang w:eastAsia="zh-CN"/>
        </w:rPr>
        <w:t>(2) = 0). Therefore, E-only model was chosen as the best model. For the core social attention index, the best-fitting model was AE model (CE: Δχ</w:t>
      </w:r>
      <w:r w:rsidRPr="007F1C94">
        <w:rPr>
          <w:sz w:val="24"/>
          <w:szCs w:val="24"/>
          <w:vertAlign w:val="superscript"/>
          <w:lang w:eastAsia="zh-CN"/>
        </w:rPr>
        <w:t xml:space="preserve">2 </w:t>
      </w:r>
      <w:r w:rsidRPr="007F1C94">
        <w:rPr>
          <w:sz w:val="24"/>
          <w:szCs w:val="24"/>
          <w:lang w:eastAsia="zh-CN"/>
        </w:rPr>
        <w:t xml:space="preserve">(1) = 7.62, </w:t>
      </w:r>
      <w:r w:rsidRPr="007F1C94">
        <w:rPr>
          <w:i/>
          <w:sz w:val="24"/>
          <w:szCs w:val="24"/>
          <w:lang w:eastAsia="zh-CN"/>
        </w:rPr>
        <w:t>p</w:t>
      </w:r>
      <w:r w:rsidRPr="007F1C94">
        <w:rPr>
          <w:sz w:val="24"/>
          <w:szCs w:val="24"/>
          <w:lang w:eastAsia="zh-CN"/>
        </w:rPr>
        <w:t xml:space="preserve"> = 0.02; AE: Δχ</w:t>
      </w:r>
      <w:r w:rsidRPr="007F1C94">
        <w:rPr>
          <w:sz w:val="24"/>
          <w:szCs w:val="24"/>
          <w:vertAlign w:val="superscript"/>
          <w:lang w:eastAsia="zh-CN"/>
        </w:rPr>
        <w:t xml:space="preserve">2 </w:t>
      </w:r>
      <w:r w:rsidRPr="007F1C94">
        <w:rPr>
          <w:sz w:val="24"/>
          <w:szCs w:val="24"/>
          <w:lang w:eastAsia="zh-CN"/>
        </w:rPr>
        <w:t>(1) = 0).</w:t>
      </w:r>
    </w:p>
    <w:p w:rsidR="00805AD6" w:rsidRPr="007F1C94" w:rsidRDefault="00805AD6" w:rsidP="00805AD6">
      <w:pPr>
        <w:spacing w:after="100" w:afterAutospacing="1"/>
        <w:rPr>
          <w:i/>
          <w:color w:val="000000"/>
          <w:sz w:val="24"/>
          <w:szCs w:val="24"/>
        </w:rPr>
      </w:pPr>
      <w:r w:rsidRPr="007F1C94">
        <w:rPr>
          <w:i/>
          <w:color w:val="000000"/>
          <w:sz w:val="24"/>
          <w:szCs w:val="24"/>
        </w:rPr>
        <w:lastRenderedPageBreak/>
        <w:t xml:space="preserve">Bivariate </w:t>
      </w:r>
      <w:r w:rsidRPr="007F1C94">
        <w:rPr>
          <w:i/>
          <w:sz w:val="24"/>
          <w:szCs w:val="24"/>
        </w:rPr>
        <w:t>Analysis</w:t>
      </w:r>
    </w:p>
    <w:p w:rsidR="00253E2C" w:rsidRPr="007F1C94" w:rsidRDefault="00805AD6" w:rsidP="00253E2C">
      <w:pPr>
        <w:spacing w:after="100" w:afterAutospacing="1" w:line="360" w:lineRule="auto"/>
        <w:ind w:firstLineChars="200" w:firstLine="480"/>
        <w:rPr>
          <w:sz w:val="24"/>
          <w:szCs w:val="24"/>
          <w:lang w:eastAsia="zh-CN"/>
        </w:rPr>
      </w:pPr>
      <w:r w:rsidRPr="007F1C94">
        <w:rPr>
          <w:sz w:val="24"/>
          <w:szCs w:val="24"/>
        </w:rPr>
        <w:t>In order to further examine genetic and environmental contributions to the covariance between</w:t>
      </w:r>
      <w:r w:rsidRPr="007F1C94">
        <w:rPr>
          <w:rFonts w:cs="Calibri"/>
          <w:sz w:val="24"/>
          <w:szCs w:val="24"/>
        </w:rPr>
        <w:t xml:space="preserve"> the two </w:t>
      </w:r>
      <w:r>
        <w:rPr>
          <w:rFonts w:cs="Calibri"/>
          <w:sz w:val="24"/>
          <w:szCs w:val="24"/>
        </w:rPr>
        <w:t xml:space="preserve">types of </w:t>
      </w:r>
      <w:r w:rsidRPr="007F1C94">
        <w:rPr>
          <w:rFonts w:cs="Calibri"/>
          <w:sz w:val="24"/>
          <w:szCs w:val="24"/>
        </w:rPr>
        <w:t xml:space="preserve">social attentional effects (i.e., </w:t>
      </w:r>
      <w:r w:rsidRPr="007F1C94">
        <w:rPr>
          <w:sz w:val="24"/>
          <w:szCs w:val="24"/>
          <w:lang w:eastAsia="zh-CN"/>
        </w:rPr>
        <w:t xml:space="preserve">gaze induced </w:t>
      </w:r>
      <w:r w:rsidRPr="007F1C94">
        <w:rPr>
          <w:sz w:val="24"/>
          <w:szCs w:val="24"/>
        </w:rPr>
        <w:t xml:space="preserve">and </w:t>
      </w:r>
      <w:r w:rsidRPr="007F1C94">
        <w:rPr>
          <w:sz w:val="24"/>
          <w:szCs w:val="24"/>
          <w:lang w:eastAsia="zh-CN"/>
        </w:rPr>
        <w:t>walking direction induced attentional effects</w:t>
      </w:r>
      <w:r w:rsidRPr="007F1C94">
        <w:rPr>
          <w:rFonts w:cs="Calibri"/>
          <w:sz w:val="24"/>
          <w:szCs w:val="24"/>
        </w:rPr>
        <w:t xml:space="preserve">) and that between the social and non-social attentional effects (i.e., </w:t>
      </w:r>
      <w:r w:rsidRPr="007F1C94">
        <w:rPr>
          <w:sz w:val="24"/>
          <w:szCs w:val="24"/>
          <w:lang w:eastAsia="zh-CN"/>
        </w:rPr>
        <w:t xml:space="preserve">gaze induced </w:t>
      </w:r>
      <w:r w:rsidRPr="007F1C94">
        <w:rPr>
          <w:sz w:val="24"/>
          <w:szCs w:val="24"/>
        </w:rPr>
        <w:t xml:space="preserve">and </w:t>
      </w:r>
      <w:r w:rsidRPr="007F1C94">
        <w:rPr>
          <w:sz w:val="24"/>
          <w:szCs w:val="24"/>
          <w:lang w:eastAsia="zh-CN"/>
        </w:rPr>
        <w:t>arrow induced attentional effects</w:t>
      </w:r>
      <w:r w:rsidRPr="007F1C94">
        <w:rPr>
          <w:rFonts w:cs="Calibri"/>
          <w:sz w:val="24"/>
          <w:szCs w:val="24"/>
        </w:rPr>
        <w:t>)</w:t>
      </w:r>
      <w:r w:rsidRPr="007F1C94">
        <w:rPr>
          <w:sz w:val="24"/>
          <w:szCs w:val="24"/>
        </w:rPr>
        <w:t>, bivariate genetic analysis was applied to the twin data using the Mx program. The bivariate correlated factors model was fit to the covariance matrices. This model allows the covariance of two phenotypes to be partitioned into covariance that is due to additive genetic, common environmental and non-shared environmental factors. Three parameters were calculated to respectively estimate the additive genetic (</w:t>
      </w:r>
      <w:r w:rsidRPr="007F1C94">
        <w:rPr>
          <w:i/>
          <w:sz w:val="24"/>
          <w:szCs w:val="24"/>
        </w:rPr>
        <w:t>r</w:t>
      </w:r>
      <w:r w:rsidRPr="007F1C94">
        <w:rPr>
          <w:sz w:val="24"/>
          <w:szCs w:val="24"/>
          <w:vertAlign w:val="subscript"/>
        </w:rPr>
        <w:t>g</w:t>
      </w:r>
      <w:r w:rsidRPr="007F1C94">
        <w:rPr>
          <w:sz w:val="24"/>
          <w:szCs w:val="24"/>
        </w:rPr>
        <w:t>), common environmental (</w:t>
      </w:r>
      <w:r w:rsidRPr="007F1C94">
        <w:rPr>
          <w:i/>
          <w:sz w:val="24"/>
          <w:szCs w:val="24"/>
        </w:rPr>
        <w:t>r</w:t>
      </w:r>
      <w:r w:rsidRPr="007F1C94">
        <w:rPr>
          <w:sz w:val="24"/>
          <w:szCs w:val="24"/>
          <w:vertAlign w:val="subscript"/>
        </w:rPr>
        <w:t>c</w:t>
      </w:r>
      <w:r w:rsidRPr="007F1C94">
        <w:rPr>
          <w:sz w:val="24"/>
          <w:szCs w:val="24"/>
        </w:rPr>
        <w:t>) and non-shared environmental (</w:t>
      </w:r>
      <w:r w:rsidRPr="007F1C94">
        <w:rPr>
          <w:i/>
          <w:sz w:val="24"/>
          <w:szCs w:val="24"/>
        </w:rPr>
        <w:t>r</w:t>
      </w:r>
      <w:r w:rsidRPr="007F1C94">
        <w:rPr>
          <w:sz w:val="24"/>
          <w:szCs w:val="24"/>
          <w:vertAlign w:val="subscript"/>
        </w:rPr>
        <w:t>e</w:t>
      </w:r>
      <w:r w:rsidRPr="007F1C94">
        <w:rPr>
          <w:sz w:val="24"/>
          <w:szCs w:val="24"/>
        </w:rPr>
        <w:t>) correlations. The additive genetic correlation (</w:t>
      </w:r>
      <w:r w:rsidRPr="007F1C94">
        <w:rPr>
          <w:i/>
          <w:sz w:val="24"/>
          <w:szCs w:val="24"/>
        </w:rPr>
        <w:t>r</w:t>
      </w:r>
      <w:r w:rsidRPr="007F1C94">
        <w:rPr>
          <w:sz w:val="24"/>
          <w:szCs w:val="24"/>
          <w:vertAlign w:val="subscript"/>
        </w:rPr>
        <w:t>g</w:t>
      </w:r>
      <w:r w:rsidRPr="007F1C94">
        <w:rPr>
          <w:sz w:val="24"/>
          <w:szCs w:val="24"/>
        </w:rPr>
        <w:t>) indicates the degree to which genetic influences on one phenotype overlap with those on the second phenotype (independent of their individual heritability). Based on the genetic correlation (</w:t>
      </w:r>
      <w:r w:rsidRPr="007F1C94">
        <w:rPr>
          <w:i/>
          <w:sz w:val="24"/>
          <w:szCs w:val="24"/>
        </w:rPr>
        <w:t>r</w:t>
      </w:r>
      <w:r w:rsidRPr="007F1C94">
        <w:rPr>
          <w:sz w:val="24"/>
          <w:szCs w:val="24"/>
          <w:vertAlign w:val="subscript"/>
        </w:rPr>
        <w:t>g</w:t>
      </w:r>
      <w:r w:rsidRPr="007F1C94">
        <w:rPr>
          <w:sz w:val="24"/>
          <w:szCs w:val="24"/>
        </w:rPr>
        <w:t>) and the individual heritability of each phenotype (i.e., a</w:t>
      </w:r>
      <w:r w:rsidRPr="007F1C94">
        <w:rPr>
          <w:sz w:val="24"/>
          <w:szCs w:val="24"/>
          <w:vertAlign w:val="subscript"/>
        </w:rPr>
        <w:t>11</w:t>
      </w:r>
      <w:r w:rsidRPr="007F1C94">
        <w:rPr>
          <w:sz w:val="24"/>
          <w:szCs w:val="24"/>
          <w:vertAlign w:val="superscript"/>
        </w:rPr>
        <w:t>2</w:t>
      </w:r>
      <w:r w:rsidRPr="007F1C94">
        <w:rPr>
          <w:sz w:val="24"/>
          <w:szCs w:val="24"/>
        </w:rPr>
        <w:t>, a</w:t>
      </w:r>
      <w:r w:rsidRPr="007F1C94">
        <w:rPr>
          <w:sz w:val="24"/>
          <w:szCs w:val="24"/>
          <w:vertAlign w:val="subscript"/>
        </w:rPr>
        <w:t>22</w:t>
      </w:r>
      <w:r w:rsidRPr="007F1C94">
        <w:rPr>
          <w:sz w:val="24"/>
          <w:szCs w:val="24"/>
          <w:vertAlign w:val="superscript"/>
        </w:rPr>
        <w:t>2</w:t>
      </w:r>
      <w:r w:rsidRPr="007F1C94">
        <w:rPr>
          <w:sz w:val="24"/>
          <w:szCs w:val="24"/>
        </w:rPr>
        <w:t>), the extent to which overlapping genetic influences account for the phenotypic correlation between two phenotypes can be obtained. The square root of the heritability of each variable were multiplied with the genetic correlation (a</w:t>
      </w:r>
      <w:r w:rsidRPr="007F1C94">
        <w:rPr>
          <w:sz w:val="24"/>
          <w:szCs w:val="24"/>
          <w:vertAlign w:val="subscript"/>
        </w:rPr>
        <w:t>11</w:t>
      </w:r>
      <w:r w:rsidRPr="007F1C94">
        <w:rPr>
          <w:sz w:val="24"/>
          <w:szCs w:val="24"/>
        </w:rPr>
        <w:t xml:space="preserve"> × a</w:t>
      </w:r>
      <w:r w:rsidRPr="007F1C94">
        <w:rPr>
          <w:sz w:val="24"/>
          <w:szCs w:val="24"/>
          <w:vertAlign w:val="subscript"/>
        </w:rPr>
        <w:t xml:space="preserve">22 </w:t>
      </w:r>
      <w:r w:rsidRPr="007F1C94">
        <w:rPr>
          <w:sz w:val="24"/>
          <w:szCs w:val="24"/>
        </w:rPr>
        <w:t xml:space="preserve">× </w:t>
      </w:r>
      <w:r w:rsidRPr="007F1C94">
        <w:rPr>
          <w:i/>
          <w:sz w:val="24"/>
          <w:szCs w:val="24"/>
        </w:rPr>
        <w:t>r</w:t>
      </w:r>
      <w:r w:rsidRPr="007F1C94">
        <w:rPr>
          <w:sz w:val="24"/>
          <w:szCs w:val="24"/>
          <w:vertAlign w:val="subscript"/>
        </w:rPr>
        <w:t>g</w:t>
      </w:r>
      <w:r w:rsidRPr="007F1C94">
        <w:rPr>
          <w:sz w:val="24"/>
          <w:szCs w:val="24"/>
        </w:rPr>
        <w:t xml:space="preserve">) and then converted to the proportion by dividing the observed overall phenotypic correlation. The common environmental and non-shared environmental contributions to the phenotypic correlation can be calculated in similar ways. The sub-models, in which </w:t>
      </w:r>
      <w:r w:rsidRPr="007F1C94">
        <w:rPr>
          <w:i/>
          <w:sz w:val="24"/>
          <w:szCs w:val="24"/>
        </w:rPr>
        <w:t>r</w:t>
      </w:r>
      <w:r w:rsidRPr="007F1C94">
        <w:rPr>
          <w:sz w:val="24"/>
          <w:szCs w:val="24"/>
          <w:vertAlign w:val="subscript"/>
        </w:rPr>
        <w:t>g</w:t>
      </w:r>
      <w:r w:rsidRPr="007F1C94">
        <w:rPr>
          <w:sz w:val="24"/>
          <w:szCs w:val="24"/>
        </w:rPr>
        <w:t xml:space="preserve">, </w:t>
      </w:r>
      <w:r w:rsidRPr="007F1C94">
        <w:rPr>
          <w:i/>
          <w:sz w:val="24"/>
          <w:szCs w:val="24"/>
        </w:rPr>
        <w:t>r</w:t>
      </w:r>
      <w:r w:rsidRPr="007F1C94">
        <w:rPr>
          <w:sz w:val="24"/>
          <w:szCs w:val="24"/>
          <w:vertAlign w:val="subscript"/>
        </w:rPr>
        <w:t>c</w:t>
      </w:r>
      <w:r w:rsidRPr="007F1C94">
        <w:rPr>
          <w:sz w:val="24"/>
          <w:szCs w:val="24"/>
        </w:rPr>
        <w:t xml:space="preserve">, or </w:t>
      </w:r>
      <w:r w:rsidRPr="007F1C94">
        <w:rPr>
          <w:i/>
          <w:sz w:val="24"/>
          <w:szCs w:val="24"/>
        </w:rPr>
        <w:t>r</w:t>
      </w:r>
      <w:r w:rsidRPr="007F1C94">
        <w:rPr>
          <w:sz w:val="24"/>
          <w:szCs w:val="24"/>
          <w:vertAlign w:val="subscript"/>
        </w:rPr>
        <w:t>e</w:t>
      </w:r>
      <w:r w:rsidRPr="007F1C94">
        <w:rPr>
          <w:sz w:val="24"/>
          <w:szCs w:val="24"/>
        </w:rPr>
        <w:t xml:space="preserve"> was dropped, were tested and compared with the full model to determine if the three parameters (</w:t>
      </w:r>
      <w:r w:rsidRPr="007F1C94">
        <w:rPr>
          <w:i/>
          <w:sz w:val="24"/>
          <w:szCs w:val="24"/>
        </w:rPr>
        <w:t>r</w:t>
      </w:r>
      <w:r w:rsidRPr="007F1C94">
        <w:rPr>
          <w:sz w:val="24"/>
          <w:szCs w:val="24"/>
          <w:vertAlign w:val="subscript"/>
        </w:rPr>
        <w:t>g</w:t>
      </w:r>
      <w:r w:rsidRPr="007F1C94">
        <w:rPr>
          <w:sz w:val="24"/>
          <w:szCs w:val="24"/>
        </w:rPr>
        <w:t xml:space="preserve">, </w:t>
      </w:r>
      <w:r w:rsidRPr="007F1C94">
        <w:rPr>
          <w:i/>
          <w:sz w:val="24"/>
          <w:szCs w:val="24"/>
        </w:rPr>
        <w:t>r</w:t>
      </w:r>
      <w:r w:rsidRPr="007F1C94">
        <w:rPr>
          <w:sz w:val="24"/>
          <w:szCs w:val="24"/>
          <w:vertAlign w:val="subscript"/>
        </w:rPr>
        <w:t>c</w:t>
      </w:r>
      <w:r w:rsidRPr="007F1C94">
        <w:rPr>
          <w:sz w:val="24"/>
          <w:szCs w:val="24"/>
        </w:rPr>
        <w:t xml:space="preserve">, and </w:t>
      </w:r>
      <w:r w:rsidRPr="007F1C94">
        <w:rPr>
          <w:i/>
          <w:sz w:val="24"/>
          <w:szCs w:val="24"/>
        </w:rPr>
        <w:t>r</w:t>
      </w:r>
      <w:r w:rsidRPr="007F1C94">
        <w:rPr>
          <w:sz w:val="24"/>
          <w:szCs w:val="24"/>
          <w:vertAlign w:val="subscript"/>
        </w:rPr>
        <w:t>e</w:t>
      </w:r>
      <w:r w:rsidRPr="007F1C94">
        <w:rPr>
          <w:sz w:val="24"/>
          <w:szCs w:val="24"/>
        </w:rPr>
        <w:t>) were significant. A significant difference in chi-square indicates a worse fit and the parameter (</w:t>
      </w:r>
      <w:r w:rsidRPr="007F1C94">
        <w:rPr>
          <w:i/>
          <w:sz w:val="24"/>
          <w:szCs w:val="24"/>
        </w:rPr>
        <w:t>r</w:t>
      </w:r>
      <w:r w:rsidRPr="007F1C94">
        <w:rPr>
          <w:sz w:val="24"/>
          <w:szCs w:val="24"/>
          <w:vertAlign w:val="subscript"/>
        </w:rPr>
        <w:t>g</w:t>
      </w:r>
      <w:r w:rsidRPr="007F1C94">
        <w:rPr>
          <w:sz w:val="24"/>
          <w:szCs w:val="24"/>
        </w:rPr>
        <w:t xml:space="preserve">, </w:t>
      </w:r>
      <w:r w:rsidRPr="007F1C94">
        <w:rPr>
          <w:i/>
          <w:sz w:val="24"/>
          <w:szCs w:val="24"/>
        </w:rPr>
        <w:t>r</w:t>
      </w:r>
      <w:r w:rsidRPr="007F1C94">
        <w:rPr>
          <w:sz w:val="24"/>
          <w:szCs w:val="24"/>
          <w:vertAlign w:val="subscript"/>
        </w:rPr>
        <w:t>c</w:t>
      </w:r>
      <w:r w:rsidRPr="007F1C94">
        <w:rPr>
          <w:sz w:val="24"/>
          <w:szCs w:val="24"/>
        </w:rPr>
        <w:t xml:space="preserve">, or </w:t>
      </w:r>
      <w:r w:rsidRPr="007F1C94">
        <w:rPr>
          <w:i/>
          <w:sz w:val="24"/>
          <w:szCs w:val="24"/>
        </w:rPr>
        <w:t>r</w:t>
      </w:r>
      <w:r w:rsidRPr="007F1C94">
        <w:rPr>
          <w:sz w:val="24"/>
          <w:szCs w:val="24"/>
          <w:vertAlign w:val="subscript"/>
        </w:rPr>
        <w:t>e</w:t>
      </w:r>
      <w:r w:rsidRPr="007F1C94">
        <w:rPr>
          <w:sz w:val="24"/>
          <w:szCs w:val="24"/>
        </w:rPr>
        <w:t>) dropped from the model is significant and should be retained in the model.</w:t>
      </w:r>
      <w:r w:rsidRPr="007F1C94">
        <w:rPr>
          <w:sz w:val="24"/>
          <w:szCs w:val="24"/>
          <w:lang w:eastAsia="zh-CN"/>
        </w:rPr>
        <w:t xml:space="preserve"> </w:t>
      </w:r>
      <w:r w:rsidR="00253E2C" w:rsidRPr="007F1C94">
        <w:rPr>
          <w:sz w:val="24"/>
          <w:szCs w:val="24"/>
          <w:lang w:eastAsia="zh-CN"/>
        </w:rPr>
        <w:t xml:space="preserve">Based on the univariate analyses of gaze induced attentional effect and walking direction induced attentional effect, the bivariate AE model was fitted. The bivariate AE model fitted well, </w:t>
      </w:r>
      <w:bookmarkStart w:id="9" w:name="OLE_LINK113"/>
      <w:bookmarkStart w:id="10" w:name="OLE_LINK114"/>
      <w:bookmarkStart w:id="11" w:name="OLE_LINK121"/>
      <w:r w:rsidR="00253E2C" w:rsidRPr="007F1C94">
        <w:rPr>
          <w:sz w:val="24"/>
          <w:szCs w:val="24"/>
          <w:lang w:eastAsia="zh-CN"/>
        </w:rPr>
        <w:t>χ</w:t>
      </w:r>
      <w:r w:rsidR="00253E2C" w:rsidRPr="007F1C94">
        <w:rPr>
          <w:sz w:val="24"/>
          <w:szCs w:val="24"/>
          <w:vertAlign w:val="superscript"/>
          <w:lang w:eastAsia="zh-CN"/>
        </w:rPr>
        <w:t>2</w:t>
      </w:r>
      <w:bookmarkEnd w:id="9"/>
      <w:bookmarkEnd w:id="10"/>
      <w:bookmarkEnd w:id="11"/>
      <w:r w:rsidR="00253E2C" w:rsidRPr="007F1C94">
        <w:rPr>
          <w:sz w:val="24"/>
          <w:szCs w:val="24"/>
          <w:vertAlign w:val="superscript"/>
          <w:lang w:eastAsia="zh-CN"/>
        </w:rPr>
        <w:t xml:space="preserve"> </w:t>
      </w:r>
      <w:r w:rsidR="00253E2C" w:rsidRPr="007F1C94">
        <w:rPr>
          <w:sz w:val="24"/>
          <w:szCs w:val="24"/>
          <w:lang w:eastAsia="zh-CN"/>
        </w:rPr>
        <w:t xml:space="preserve">= 14.06, df = 14, </w:t>
      </w:r>
      <w:r w:rsidR="00253E2C" w:rsidRPr="007F1C94">
        <w:rPr>
          <w:i/>
          <w:sz w:val="24"/>
          <w:szCs w:val="24"/>
          <w:lang w:eastAsia="zh-CN"/>
        </w:rPr>
        <w:t>p</w:t>
      </w:r>
      <w:r w:rsidR="00253E2C" w:rsidRPr="007F1C94">
        <w:rPr>
          <w:sz w:val="24"/>
          <w:szCs w:val="24"/>
          <w:lang w:eastAsia="zh-CN"/>
        </w:rPr>
        <w:t xml:space="preserve"> = 0.45, AIC = -13.94. Dropping the genetic correlation (</w:t>
      </w:r>
      <w:r w:rsidR="00253E2C" w:rsidRPr="007F1C94">
        <w:rPr>
          <w:i/>
          <w:sz w:val="24"/>
          <w:szCs w:val="24"/>
        </w:rPr>
        <w:t>r</w:t>
      </w:r>
      <w:r w:rsidR="00253E2C" w:rsidRPr="007F1C94">
        <w:rPr>
          <w:sz w:val="24"/>
          <w:szCs w:val="24"/>
          <w:vertAlign w:val="subscript"/>
        </w:rPr>
        <w:t>g</w:t>
      </w:r>
      <w:r w:rsidR="00253E2C" w:rsidRPr="007F1C94">
        <w:rPr>
          <w:sz w:val="24"/>
          <w:szCs w:val="24"/>
          <w:lang w:eastAsia="zh-CN"/>
        </w:rPr>
        <w:t xml:space="preserve">) </w:t>
      </w:r>
      <w:r w:rsidR="00253E2C" w:rsidRPr="007F1C94">
        <w:rPr>
          <w:sz w:val="24"/>
          <w:szCs w:val="24"/>
          <w:lang w:eastAsia="zh-CN"/>
        </w:rPr>
        <w:lastRenderedPageBreak/>
        <w:t>significantly reduce the fit of the model (Δχ</w:t>
      </w:r>
      <w:r w:rsidR="00253E2C" w:rsidRPr="007F1C94">
        <w:rPr>
          <w:sz w:val="24"/>
          <w:szCs w:val="24"/>
          <w:vertAlign w:val="superscript"/>
          <w:lang w:eastAsia="zh-CN"/>
        </w:rPr>
        <w:t xml:space="preserve">2 </w:t>
      </w:r>
      <w:r w:rsidR="00253E2C" w:rsidRPr="007F1C94">
        <w:rPr>
          <w:sz w:val="24"/>
          <w:szCs w:val="24"/>
          <w:lang w:eastAsia="zh-CN"/>
        </w:rPr>
        <w:t xml:space="preserve">(1) = 5.90, </w:t>
      </w:r>
      <w:r w:rsidR="00253E2C" w:rsidRPr="007F1C94">
        <w:rPr>
          <w:i/>
          <w:sz w:val="24"/>
          <w:szCs w:val="24"/>
          <w:lang w:eastAsia="zh-CN"/>
        </w:rPr>
        <w:t>p</w:t>
      </w:r>
      <w:r w:rsidR="00253E2C" w:rsidRPr="007F1C94">
        <w:rPr>
          <w:sz w:val="24"/>
          <w:szCs w:val="24"/>
          <w:lang w:eastAsia="zh-CN"/>
        </w:rPr>
        <w:t xml:space="preserve"> = 0.02), whereas the </w:t>
      </w:r>
      <w:r w:rsidR="00253E2C" w:rsidRPr="007F1C94">
        <w:rPr>
          <w:sz w:val="24"/>
          <w:szCs w:val="24"/>
        </w:rPr>
        <w:t>non-shared environmental</w:t>
      </w:r>
      <w:r w:rsidR="00253E2C" w:rsidRPr="007F1C94">
        <w:rPr>
          <w:sz w:val="24"/>
          <w:szCs w:val="24"/>
          <w:lang w:eastAsia="zh-CN"/>
        </w:rPr>
        <w:t xml:space="preserve"> correlation</w:t>
      </w:r>
      <w:r w:rsidR="00253E2C" w:rsidRPr="007F1C94">
        <w:rPr>
          <w:sz w:val="24"/>
          <w:szCs w:val="24"/>
        </w:rPr>
        <w:t xml:space="preserve"> (</w:t>
      </w:r>
      <w:r w:rsidR="00253E2C" w:rsidRPr="007F1C94">
        <w:rPr>
          <w:i/>
          <w:sz w:val="24"/>
          <w:szCs w:val="24"/>
        </w:rPr>
        <w:t>r</w:t>
      </w:r>
      <w:r w:rsidR="00253E2C" w:rsidRPr="007F1C94">
        <w:rPr>
          <w:sz w:val="24"/>
          <w:szCs w:val="24"/>
          <w:vertAlign w:val="subscript"/>
        </w:rPr>
        <w:t>e</w:t>
      </w:r>
      <w:r w:rsidR="00253E2C" w:rsidRPr="007F1C94">
        <w:rPr>
          <w:sz w:val="24"/>
          <w:szCs w:val="24"/>
        </w:rPr>
        <w:t xml:space="preserve">) </w:t>
      </w:r>
      <w:r w:rsidR="00253E2C" w:rsidRPr="007F1C94">
        <w:rPr>
          <w:sz w:val="24"/>
          <w:szCs w:val="24"/>
          <w:lang w:eastAsia="zh-CN"/>
        </w:rPr>
        <w:t>could be dropped with no significant change in χ</w:t>
      </w:r>
      <w:r w:rsidR="00253E2C" w:rsidRPr="007F1C94">
        <w:rPr>
          <w:sz w:val="24"/>
          <w:szCs w:val="24"/>
          <w:vertAlign w:val="superscript"/>
          <w:lang w:eastAsia="zh-CN"/>
        </w:rPr>
        <w:t>2</w:t>
      </w:r>
      <w:r w:rsidR="00253E2C" w:rsidRPr="007F1C94">
        <w:rPr>
          <w:sz w:val="24"/>
          <w:szCs w:val="24"/>
          <w:lang w:eastAsia="zh-CN"/>
        </w:rPr>
        <w:t>(Δχ</w:t>
      </w:r>
      <w:r w:rsidR="00253E2C" w:rsidRPr="007F1C94">
        <w:rPr>
          <w:sz w:val="24"/>
          <w:szCs w:val="24"/>
          <w:vertAlign w:val="superscript"/>
          <w:lang w:eastAsia="zh-CN"/>
        </w:rPr>
        <w:t>2</w:t>
      </w:r>
      <w:r w:rsidR="00253E2C" w:rsidRPr="007F1C94">
        <w:rPr>
          <w:sz w:val="24"/>
          <w:szCs w:val="24"/>
          <w:lang w:eastAsia="zh-CN"/>
        </w:rPr>
        <w:t>(1) = 0.07,</w:t>
      </w:r>
      <w:r w:rsidR="00253E2C" w:rsidRPr="007F1C94">
        <w:rPr>
          <w:i/>
          <w:sz w:val="24"/>
          <w:szCs w:val="24"/>
          <w:lang w:eastAsia="zh-CN"/>
        </w:rPr>
        <w:t xml:space="preserve"> p</w:t>
      </w:r>
      <w:r w:rsidR="00253E2C" w:rsidRPr="007F1C94">
        <w:rPr>
          <w:sz w:val="24"/>
          <w:szCs w:val="24"/>
          <w:lang w:eastAsia="zh-CN"/>
        </w:rPr>
        <w:t xml:space="preserve"> = 0.79). </w:t>
      </w:r>
    </w:p>
    <w:p w:rsidR="00805AD6" w:rsidRPr="007F1C94" w:rsidRDefault="00805AD6" w:rsidP="00805AD6">
      <w:pPr>
        <w:spacing w:after="100" w:afterAutospacing="1" w:line="360" w:lineRule="auto"/>
        <w:ind w:firstLineChars="200" w:firstLine="480"/>
        <w:rPr>
          <w:sz w:val="24"/>
          <w:szCs w:val="24"/>
        </w:rPr>
      </w:pPr>
      <w:r w:rsidRPr="007F1C94">
        <w:rPr>
          <w:sz w:val="24"/>
          <w:szCs w:val="24"/>
          <w:lang w:eastAsia="zh-CN"/>
        </w:rPr>
        <w:t>All data submitted to the intraclass correlation and the genetic modeling analyses had been controlled for age, gender, and zygosity based on</w:t>
      </w:r>
      <w:r>
        <w:rPr>
          <w:sz w:val="24"/>
          <w:szCs w:val="24"/>
          <w:lang w:eastAsia="zh-CN"/>
        </w:rPr>
        <w:t xml:space="preserve"> </w:t>
      </w:r>
      <w:r w:rsidRPr="007F1C94">
        <w:rPr>
          <w:sz w:val="24"/>
          <w:szCs w:val="24"/>
          <w:lang w:eastAsia="zh-CN"/>
        </w:rPr>
        <w:t>multivariable regression.</w:t>
      </w:r>
    </w:p>
    <w:p w:rsidR="009C37F4" w:rsidRDefault="009C37F4"/>
    <w:p w:rsidR="009C37F4" w:rsidRPr="009C37F4" w:rsidRDefault="009C37F4" w:rsidP="009C37F4">
      <w:pPr>
        <w:spacing w:after="100" w:afterAutospacing="1"/>
        <w:rPr>
          <w:b/>
          <w:sz w:val="24"/>
          <w:szCs w:val="24"/>
          <w:lang w:eastAsia="zh-CN"/>
        </w:rPr>
      </w:pPr>
      <w:r w:rsidRPr="009C37F4">
        <w:rPr>
          <w:rFonts w:hint="eastAsia"/>
          <w:b/>
          <w:sz w:val="24"/>
          <w:szCs w:val="24"/>
          <w:lang w:eastAsia="zh-CN"/>
        </w:rPr>
        <w:t>R</w:t>
      </w:r>
      <w:r w:rsidRPr="009C37F4">
        <w:rPr>
          <w:b/>
          <w:sz w:val="24"/>
          <w:szCs w:val="24"/>
          <w:lang w:eastAsia="zh-CN"/>
        </w:rPr>
        <w:t>e</w:t>
      </w:r>
      <w:r w:rsidRPr="009C37F4">
        <w:rPr>
          <w:rFonts w:hint="eastAsia"/>
          <w:b/>
          <w:sz w:val="24"/>
          <w:szCs w:val="24"/>
          <w:lang w:eastAsia="zh-CN"/>
        </w:rPr>
        <w:t>ference</w:t>
      </w:r>
      <w:r w:rsidR="00741C06">
        <w:rPr>
          <w:rFonts w:hint="eastAsia"/>
          <w:b/>
          <w:sz w:val="24"/>
          <w:szCs w:val="24"/>
          <w:lang w:eastAsia="zh-CN"/>
        </w:rPr>
        <w:t>s</w:t>
      </w:r>
    </w:p>
    <w:p w:rsidR="009C37F4" w:rsidRPr="009C37F4" w:rsidRDefault="009C37F4" w:rsidP="009C37F4">
      <w:pPr>
        <w:pStyle w:val="EndNoteBibliography"/>
        <w:spacing w:after="0"/>
      </w:pPr>
      <w:r>
        <w:fldChar w:fldCharType="begin"/>
      </w:r>
      <w:r>
        <w:instrText xml:space="preserve"> ADDIN EN.REFLIST </w:instrText>
      </w:r>
      <w:r>
        <w:fldChar w:fldCharType="separate"/>
      </w:r>
      <w:r w:rsidRPr="009C37F4">
        <w:rPr>
          <w:b/>
        </w:rPr>
        <w:t xml:space="preserve">Neale, M. &amp; Cardon, L. </w:t>
      </w:r>
      <w:r w:rsidRPr="009C37F4">
        <w:t xml:space="preserve">(1992). </w:t>
      </w:r>
      <w:r w:rsidRPr="009C37F4">
        <w:rPr>
          <w:i/>
        </w:rPr>
        <w:t>Methodology for genetic studies of twins and families. 1992</w:t>
      </w:r>
      <w:r w:rsidRPr="009C37F4">
        <w:t>. Kluwer: Dordrecht.</w:t>
      </w:r>
    </w:p>
    <w:p w:rsidR="009C37F4" w:rsidRPr="009C37F4" w:rsidRDefault="009C37F4" w:rsidP="009C37F4">
      <w:pPr>
        <w:pStyle w:val="EndNoteBibliography"/>
      </w:pPr>
      <w:r w:rsidRPr="009C37F4">
        <w:rPr>
          <w:b/>
        </w:rPr>
        <w:t xml:space="preserve">Neale Michael, C., Boker Steven, M. &amp; Xie Gary, M. H. H. </w:t>
      </w:r>
      <w:r w:rsidRPr="009C37F4">
        <w:t xml:space="preserve">(2003). </w:t>
      </w:r>
      <w:r w:rsidRPr="009C37F4">
        <w:rPr>
          <w:i/>
        </w:rPr>
        <w:t>Mx: Statistical Modeling</w:t>
      </w:r>
      <w:r w:rsidRPr="009C37F4">
        <w:t>. Richmond: Virginia Commonwealth University, Department of Psychiatry.</w:t>
      </w:r>
    </w:p>
    <w:p w:rsidR="00F339C3" w:rsidRDefault="009C37F4">
      <w:r>
        <w:fldChar w:fldCharType="end"/>
      </w:r>
    </w:p>
    <w:sectPr w:rsidR="00F339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3F" w:rsidRDefault="00E3643F" w:rsidP="00805AD6">
      <w:pPr>
        <w:spacing w:after="0" w:line="240" w:lineRule="auto"/>
      </w:pPr>
      <w:r>
        <w:separator/>
      </w:r>
    </w:p>
  </w:endnote>
  <w:endnote w:type="continuationSeparator" w:id="0">
    <w:p w:rsidR="00E3643F" w:rsidRDefault="00E3643F" w:rsidP="0080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3F" w:rsidRDefault="00E3643F" w:rsidP="00805AD6">
      <w:pPr>
        <w:spacing w:after="0" w:line="240" w:lineRule="auto"/>
      </w:pPr>
      <w:r>
        <w:separator/>
      </w:r>
    </w:p>
  </w:footnote>
  <w:footnote w:type="continuationSeparator" w:id="0">
    <w:p w:rsidR="00E3643F" w:rsidRDefault="00E3643F" w:rsidP="00805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sychological Medicin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arvdxeid9de8exrzjv2stixtpss0fz9zde&quot;&gt;SocialAttentionTwin&lt;record-ids&gt;&lt;item&gt;59&lt;/item&gt;&lt;item&gt;60&lt;/item&gt;&lt;/record-ids&gt;&lt;/item&gt;&lt;/Libraries&gt;"/>
  </w:docVars>
  <w:rsids>
    <w:rsidRoot w:val="000677F7"/>
    <w:rsid w:val="000677F7"/>
    <w:rsid w:val="00253E2C"/>
    <w:rsid w:val="0058402D"/>
    <w:rsid w:val="00741C06"/>
    <w:rsid w:val="007645CA"/>
    <w:rsid w:val="0078482A"/>
    <w:rsid w:val="00805AD6"/>
    <w:rsid w:val="00920BD6"/>
    <w:rsid w:val="009C37F4"/>
    <w:rsid w:val="00BD4B2A"/>
    <w:rsid w:val="00E3643F"/>
    <w:rsid w:val="00F168CC"/>
    <w:rsid w:val="00F33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120DA-F42B-4007-AEC3-66618F2C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AD6"/>
    <w:pPr>
      <w:spacing w:after="200" w:line="252" w:lineRule="auto"/>
    </w:pPr>
    <w:rPr>
      <w:rFonts w:ascii="Cambria" w:eastAsia="宋体" w:hAnsi="Cambria"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AD6"/>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bidi="ar-SA"/>
    </w:rPr>
  </w:style>
  <w:style w:type="character" w:customStyle="1" w:styleId="a4">
    <w:name w:val="页眉 字符"/>
    <w:basedOn w:val="a0"/>
    <w:link w:val="a3"/>
    <w:uiPriority w:val="99"/>
    <w:rsid w:val="00805AD6"/>
    <w:rPr>
      <w:sz w:val="18"/>
      <w:szCs w:val="18"/>
    </w:rPr>
  </w:style>
  <w:style w:type="paragraph" w:styleId="a5">
    <w:name w:val="footer"/>
    <w:basedOn w:val="a"/>
    <w:link w:val="a6"/>
    <w:uiPriority w:val="99"/>
    <w:unhideWhenUsed/>
    <w:rsid w:val="00805AD6"/>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bidi="ar-SA"/>
    </w:rPr>
  </w:style>
  <w:style w:type="character" w:customStyle="1" w:styleId="a6">
    <w:name w:val="页脚 字符"/>
    <w:basedOn w:val="a0"/>
    <w:link w:val="a5"/>
    <w:uiPriority w:val="99"/>
    <w:rsid w:val="00805AD6"/>
    <w:rPr>
      <w:sz w:val="18"/>
      <w:szCs w:val="18"/>
    </w:rPr>
  </w:style>
  <w:style w:type="paragraph" w:customStyle="1" w:styleId="EndNoteBibliographyTitle">
    <w:name w:val="EndNote Bibliography Title"/>
    <w:basedOn w:val="a"/>
    <w:link w:val="EndNoteBibliographyTitle0"/>
    <w:rsid w:val="009C37F4"/>
    <w:pPr>
      <w:spacing w:after="0"/>
      <w:jc w:val="center"/>
    </w:pPr>
    <w:rPr>
      <w:noProof/>
    </w:rPr>
  </w:style>
  <w:style w:type="character" w:customStyle="1" w:styleId="EndNoteBibliographyTitle0">
    <w:name w:val="EndNote Bibliography Title 字符"/>
    <w:basedOn w:val="a0"/>
    <w:link w:val="EndNoteBibliographyTitle"/>
    <w:rsid w:val="009C37F4"/>
    <w:rPr>
      <w:rFonts w:ascii="Cambria" w:eastAsia="宋体" w:hAnsi="Cambria" w:cs="Times New Roman"/>
      <w:noProof/>
      <w:kern w:val="0"/>
      <w:sz w:val="22"/>
      <w:lang w:eastAsia="en-US" w:bidi="en-US"/>
    </w:rPr>
  </w:style>
  <w:style w:type="paragraph" w:customStyle="1" w:styleId="EndNoteBibliography">
    <w:name w:val="EndNote Bibliography"/>
    <w:basedOn w:val="a"/>
    <w:link w:val="EndNoteBibliography0"/>
    <w:rsid w:val="009C37F4"/>
    <w:pPr>
      <w:spacing w:line="240" w:lineRule="auto"/>
    </w:pPr>
    <w:rPr>
      <w:noProof/>
    </w:rPr>
  </w:style>
  <w:style w:type="character" w:customStyle="1" w:styleId="EndNoteBibliography0">
    <w:name w:val="EndNote Bibliography 字符"/>
    <w:basedOn w:val="a0"/>
    <w:link w:val="EndNoteBibliography"/>
    <w:rsid w:val="009C37F4"/>
    <w:rPr>
      <w:rFonts w:ascii="Cambria" w:eastAsia="宋体" w:hAnsi="Cambria" w:cs="Times New Roman"/>
      <w:noProof/>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1258</Words>
  <Characters>7174</Characters>
  <Application>Microsoft Office Word</Application>
  <DocSecurity>0</DocSecurity>
  <Lines>59</Lines>
  <Paragraphs>16</Paragraphs>
  <ScaleCrop>false</ScaleCrop>
  <Company>PSYCH</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Li</dc:creator>
  <cp:keywords/>
  <dc:description/>
  <cp:lastModifiedBy>Wang Li</cp:lastModifiedBy>
  <cp:revision>12</cp:revision>
  <dcterms:created xsi:type="dcterms:W3CDTF">2018-09-11T06:47:00Z</dcterms:created>
  <dcterms:modified xsi:type="dcterms:W3CDTF">2019-01-29T01:36:00Z</dcterms:modified>
</cp:coreProperties>
</file>