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E9" w:rsidRDefault="00005FA1" w:rsidP="00D226E9">
      <w:pPr>
        <w:spacing w:before="0"/>
        <w:ind w:left="0"/>
        <w:rPr>
          <w:rFonts w:ascii="Arial" w:hAnsi="Arial" w:cs="Arial"/>
          <w:b/>
          <w:i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Supplement </w:t>
      </w:r>
      <w:r w:rsidR="00D226E9" w:rsidRPr="005D376C">
        <w:rPr>
          <w:rFonts w:ascii="Arial" w:hAnsi="Arial" w:cs="Arial"/>
          <w:b/>
          <w:sz w:val="24"/>
        </w:rPr>
        <w:t xml:space="preserve">Table 1. </w:t>
      </w:r>
      <w:proofErr w:type="gramStart"/>
      <w:r w:rsidR="00D226E9" w:rsidRPr="005D376C">
        <w:rPr>
          <w:rFonts w:ascii="Arial" w:hAnsi="Arial" w:cs="Arial"/>
          <w:b/>
          <w:i/>
          <w:sz w:val="24"/>
        </w:rPr>
        <w:t xml:space="preserve">Description of TAU in the period between </w:t>
      </w:r>
      <w:r w:rsidR="00485531">
        <w:rPr>
          <w:rFonts w:ascii="Arial" w:hAnsi="Arial" w:cs="Arial"/>
          <w:b/>
          <w:i/>
          <w:sz w:val="24"/>
        </w:rPr>
        <w:t>baseline (</w:t>
      </w:r>
      <w:r w:rsidR="00D226E9" w:rsidRPr="005D376C">
        <w:rPr>
          <w:rFonts w:ascii="Arial" w:hAnsi="Arial" w:cs="Arial"/>
          <w:b/>
          <w:i/>
          <w:sz w:val="24"/>
        </w:rPr>
        <w:t>T0</w:t>
      </w:r>
      <w:r w:rsidR="00485531">
        <w:rPr>
          <w:rFonts w:ascii="Arial" w:hAnsi="Arial" w:cs="Arial"/>
          <w:b/>
          <w:i/>
          <w:sz w:val="24"/>
        </w:rPr>
        <w:t>)</w:t>
      </w:r>
      <w:r w:rsidR="00D226E9" w:rsidRPr="005D376C">
        <w:rPr>
          <w:rFonts w:ascii="Arial" w:hAnsi="Arial" w:cs="Arial"/>
          <w:b/>
          <w:i/>
          <w:sz w:val="24"/>
        </w:rPr>
        <w:t xml:space="preserve"> and </w:t>
      </w:r>
      <w:r w:rsidR="00485531">
        <w:rPr>
          <w:rFonts w:ascii="Arial" w:hAnsi="Arial" w:cs="Arial"/>
          <w:b/>
          <w:i/>
          <w:sz w:val="24"/>
        </w:rPr>
        <w:t>post-treatment (</w:t>
      </w:r>
      <w:r w:rsidR="00D226E9" w:rsidRPr="005D376C">
        <w:rPr>
          <w:rFonts w:ascii="Arial" w:hAnsi="Arial" w:cs="Arial"/>
          <w:b/>
          <w:i/>
          <w:sz w:val="24"/>
        </w:rPr>
        <w:t>T1</w:t>
      </w:r>
      <w:r w:rsidR="00485531">
        <w:rPr>
          <w:rFonts w:ascii="Arial" w:hAnsi="Arial" w:cs="Arial"/>
          <w:b/>
          <w:i/>
          <w:sz w:val="24"/>
        </w:rPr>
        <w:t>)</w:t>
      </w:r>
      <w:r w:rsidR="00D226E9" w:rsidRPr="005D376C">
        <w:rPr>
          <w:rFonts w:ascii="Arial" w:hAnsi="Arial" w:cs="Arial"/>
          <w:b/>
          <w:i/>
          <w:sz w:val="24"/>
        </w:rPr>
        <w:t>.</w:t>
      </w:r>
      <w:proofErr w:type="gramEnd"/>
      <w:r w:rsidR="00D226E9" w:rsidRPr="005D376C">
        <w:rPr>
          <w:rFonts w:ascii="Arial" w:hAnsi="Arial" w:cs="Arial"/>
          <w:b/>
          <w:i/>
          <w:sz w:val="24"/>
        </w:rPr>
        <w:t xml:space="preserve"> </w:t>
      </w:r>
    </w:p>
    <w:p w:rsidR="00A86024" w:rsidRPr="005D376C" w:rsidRDefault="00A86024" w:rsidP="00D226E9">
      <w:pPr>
        <w:spacing w:before="0"/>
        <w:ind w:left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93"/>
        <w:gridCol w:w="1559"/>
        <w:gridCol w:w="1559"/>
        <w:gridCol w:w="856"/>
      </w:tblGrid>
      <w:tr w:rsidR="00D226E9" w:rsidRPr="00D226E9" w:rsidTr="00A86024">
        <w:tc>
          <w:tcPr>
            <w:tcW w:w="3493" w:type="dxa"/>
            <w:shd w:val="pct5" w:color="auto" w:fill="auto"/>
          </w:tcPr>
          <w:p w:rsidR="00D226E9" w:rsidRPr="00D226E9" w:rsidRDefault="00D226E9" w:rsidP="00A86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pct5" w:color="auto" w:fill="auto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26E9">
              <w:rPr>
                <w:rFonts w:ascii="Arial" w:hAnsi="Arial" w:cs="Arial"/>
                <w:b/>
                <w:sz w:val="20"/>
              </w:rPr>
              <w:t>MBCT+TAU</w:t>
            </w:r>
          </w:p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26E9">
              <w:rPr>
                <w:rFonts w:ascii="Arial" w:hAnsi="Arial" w:cs="Arial"/>
                <w:b/>
                <w:sz w:val="20"/>
              </w:rPr>
              <w:t>(</w:t>
            </w:r>
            <w:r w:rsidRPr="00D226E9">
              <w:rPr>
                <w:rFonts w:ascii="Arial" w:hAnsi="Arial" w:cs="Arial"/>
                <w:b/>
                <w:i/>
                <w:sz w:val="20"/>
              </w:rPr>
              <w:t>n</w:t>
            </w:r>
            <w:r w:rsidRPr="00D226E9">
              <w:rPr>
                <w:rFonts w:ascii="Arial" w:hAnsi="Arial" w:cs="Arial"/>
                <w:b/>
                <w:sz w:val="20"/>
              </w:rPr>
              <w:t>=54)</w:t>
            </w:r>
          </w:p>
        </w:tc>
        <w:tc>
          <w:tcPr>
            <w:tcW w:w="1559" w:type="dxa"/>
            <w:shd w:val="pct5" w:color="auto" w:fill="auto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26E9">
              <w:rPr>
                <w:rFonts w:ascii="Arial" w:hAnsi="Arial" w:cs="Arial"/>
                <w:b/>
                <w:sz w:val="20"/>
              </w:rPr>
              <w:t>TAU</w:t>
            </w:r>
          </w:p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26E9">
              <w:rPr>
                <w:rFonts w:ascii="Arial" w:hAnsi="Arial" w:cs="Arial"/>
                <w:b/>
                <w:sz w:val="20"/>
              </w:rPr>
              <w:t>(</w:t>
            </w:r>
            <w:r w:rsidRPr="00D226E9">
              <w:rPr>
                <w:rFonts w:ascii="Arial" w:hAnsi="Arial" w:cs="Arial"/>
                <w:b/>
                <w:i/>
                <w:sz w:val="20"/>
              </w:rPr>
              <w:t>n</w:t>
            </w:r>
            <w:r w:rsidRPr="00D226E9">
              <w:rPr>
                <w:rFonts w:ascii="Arial" w:hAnsi="Arial" w:cs="Arial"/>
                <w:b/>
                <w:sz w:val="20"/>
              </w:rPr>
              <w:t>=56)</w:t>
            </w:r>
          </w:p>
        </w:tc>
        <w:tc>
          <w:tcPr>
            <w:tcW w:w="856" w:type="dxa"/>
            <w:shd w:val="pct5" w:color="auto" w:fill="auto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226E9" w:rsidRPr="00D226E9" w:rsidTr="00A86024">
        <w:tc>
          <w:tcPr>
            <w:tcW w:w="3493" w:type="dxa"/>
            <w:shd w:val="pct5" w:color="auto" w:fill="auto"/>
          </w:tcPr>
          <w:p w:rsidR="00D226E9" w:rsidRPr="00D226E9" w:rsidRDefault="00D226E9" w:rsidP="00A860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pct5" w:color="auto" w:fill="auto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226E9">
              <w:rPr>
                <w:rFonts w:ascii="Arial" w:hAnsi="Arial" w:cs="Arial"/>
                <w:b/>
                <w:i/>
                <w:sz w:val="20"/>
              </w:rPr>
              <w:t>n</w:t>
            </w:r>
            <w:proofErr w:type="gramEnd"/>
            <w:r w:rsidRPr="00D226E9">
              <w:rPr>
                <w:rFonts w:ascii="Arial" w:hAnsi="Arial" w:cs="Arial"/>
                <w:b/>
                <w:sz w:val="20"/>
              </w:rPr>
              <w:t xml:space="preserve"> (%)</w:t>
            </w:r>
          </w:p>
        </w:tc>
        <w:tc>
          <w:tcPr>
            <w:tcW w:w="1559" w:type="dxa"/>
            <w:shd w:val="pct5" w:color="auto" w:fill="auto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226E9">
              <w:rPr>
                <w:rFonts w:ascii="Arial" w:hAnsi="Arial" w:cs="Arial"/>
                <w:b/>
                <w:i/>
                <w:sz w:val="20"/>
              </w:rPr>
              <w:t>n</w:t>
            </w:r>
            <w:proofErr w:type="gramEnd"/>
            <w:r w:rsidRPr="00D226E9">
              <w:rPr>
                <w:rFonts w:ascii="Arial" w:hAnsi="Arial" w:cs="Arial"/>
                <w:b/>
                <w:sz w:val="20"/>
              </w:rPr>
              <w:t xml:space="preserve"> (%)</w:t>
            </w:r>
          </w:p>
        </w:tc>
        <w:tc>
          <w:tcPr>
            <w:tcW w:w="856" w:type="dxa"/>
            <w:shd w:val="pct5" w:color="auto" w:fill="auto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b/>
                <w:i/>
                <w:sz w:val="20"/>
              </w:rPr>
              <w:t>p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 xml:space="preserve">Use of ADHD medication (yes)  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35 (65)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37 (66)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0.890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Stable medication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25 (71)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16 (43)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0.016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Changed type medication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 (6)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3 (8)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1.000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Started or increased dosage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5 (14)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11 (30)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0.115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Stopped or decreased dosage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3 (9)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7 (19)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0.309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Psychosocial treatment ADHD (yes)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17 (31)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20 (36)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0.639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Cognitive behavioural therapy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5 (9)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5 (9)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1.000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Psychotherapy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 (4)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4 (7)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0.679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Systemic or relational therapy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 (2)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 (2)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1.000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proofErr w:type="spellStart"/>
            <w:r w:rsidRPr="00D226E9">
              <w:rPr>
                <w:rFonts w:ascii="Arial" w:hAnsi="Arial" w:cs="Arial"/>
                <w:sz w:val="20"/>
              </w:rPr>
              <w:t>Psychoeducation</w:t>
            </w:r>
            <w:proofErr w:type="spellEnd"/>
            <w:r w:rsidRPr="00D226E9">
              <w:rPr>
                <w:rFonts w:ascii="Arial" w:hAnsi="Arial" w:cs="Arial"/>
                <w:sz w:val="20"/>
              </w:rPr>
              <w:t xml:space="preserve"> and skills training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 (4)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 (2)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0.615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Coaching/supportive treatment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5 (9)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7 (13)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0.586</w:t>
            </w:r>
          </w:p>
        </w:tc>
      </w:tr>
      <w:tr w:rsidR="00D226E9" w:rsidRPr="00D226E9" w:rsidTr="00A86024">
        <w:tc>
          <w:tcPr>
            <w:tcW w:w="3493" w:type="dxa"/>
          </w:tcPr>
          <w:p w:rsidR="00D226E9" w:rsidRPr="00D226E9" w:rsidRDefault="00D226E9" w:rsidP="00A86024">
            <w:pPr>
              <w:ind w:left="340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Not specified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 (4)</w:t>
            </w:r>
          </w:p>
        </w:tc>
        <w:tc>
          <w:tcPr>
            <w:tcW w:w="1559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2 (4)</w:t>
            </w:r>
          </w:p>
        </w:tc>
        <w:tc>
          <w:tcPr>
            <w:tcW w:w="856" w:type="dxa"/>
          </w:tcPr>
          <w:p w:rsidR="00D226E9" w:rsidRPr="00D226E9" w:rsidRDefault="00D226E9" w:rsidP="00A86024">
            <w:pPr>
              <w:jc w:val="center"/>
              <w:rPr>
                <w:rFonts w:ascii="Arial" w:hAnsi="Arial" w:cs="Arial"/>
                <w:sz w:val="20"/>
              </w:rPr>
            </w:pPr>
            <w:r w:rsidRPr="00D226E9">
              <w:rPr>
                <w:rFonts w:ascii="Arial" w:hAnsi="Arial" w:cs="Arial"/>
                <w:sz w:val="20"/>
              </w:rPr>
              <w:t>1.000</w:t>
            </w:r>
          </w:p>
        </w:tc>
      </w:tr>
    </w:tbl>
    <w:p w:rsidR="00D226E9" w:rsidRPr="00D226E9" w:rsidRDefault="00D226E9" w:rsidP="00D226E9">
      <w:pPr>
        <w:ind w:left="0"/>
        <w:rPr>
          <w:rFonts w:ascii="Arial" w:hAnsi="Arial" w:cs="Arial"/>
          <w:i/>
          <w:sz w:val="20"/>
        </w:rPr>
      </w:pPr>
    </w:p>
    <w:p w:rsidR="00A86024" w:rsidRDefault="00A86024">
      <w:pPr>
        <w:spacing w:before="0" w:after="200" w:line="276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A0A3F" w:rsidRPr="005D376C" w:rsidRDefault="007A0A3F" w:rsidP="007A0A3F">
      <w:pPr>
        <w:spacing w:before="0" w:after="200"/>
        <w:ind w:left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Supplement </w:t>
      </w:r>
      <w:r w:rsidRPr="005D376C">
        <w:rPr>
          <w:rFonts w:ascii="Arial" w:hAnsi="Arial" w:cs="Arial"/>
          <w:b/>
          <w:sz w:val="24"/>
        </w:rPr>
        <w:t xml:space="preserve">Figure 1. </w:t>
      </w:r>
      <w:r w:rsidRPr="005D376C">
        <w:rPr>
          <w:rFonts w:ascii="Arial" w:hAnsi="Arial" w:cs="Arial"/>
          <w:b/>
          <w:i/>
          <w:sz w:val="24"/>
        </w:rPr>
        <w:t>Change in ADHD symptoms (CAARS-INV) between baseline and post-treatment.</w:t>
      </w:r>
    </w:p>
    <w:p w:rsidR="007A0A3F" w:rsidRPr="00D226E9" w:rsidRDefault="007A0A3F" w:rsidP="007A0A3F">
      <w:pPr>
        <w:spacing w:before="0"/>
        <w:ind w:left="0"/>
        <w:rPr>
          <w:rFonts w:ascii="Arial" w:hAnsi="Arial" w:cs="Arial"/>
          <w:sz w:val="20"/>
        </w:rPr>
      </w:pPr>
    </w:p>
    <w:p w:rsidR="007A0A3F" w:rsidRPr="00D226E9" w:rsidRDefault="007A0A3F" w:rsidP="007A0A3F">
      <w:pPr>
        <w:spacing w:before="0"/>
        <w:ind w:left="0"/>
        <w:rPr>
          <w:rFonts w:ascii="Arial" w:hAnsi="Arial" w:cs="Arial"/>
          <w:i/>
          <w:sz w:val="20"/>
        </w:rPr>
      </w:pPr>
      <w:r w:rsidRPr="00D226E9">
        <w:rPr>
          <w:rFonts w:ascii="Arial" w:hAnsi="Arial" w:cs="Arial"/>
          <w:i/>
          <w:noProof/>
          <w:sz w:val="20"/>
          <w:lang w:val="en-IN" w:eastAsia="en-IN"/>
        </w:rPr>
        <w:drawing>
          <wp:inline distT="0" distB="0" distL="0" distR="0">
            <wp:extent cx="4248150" cy="4436758"/>
            <wp:effectExtent l="19050" t="0" r="0" b="0"/>
            <wp:docPr id="2" name="Afbeelding 0" descr="Sup Figure 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ure A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679" cy="444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3F" w:rsidRDefault="007A0A3F" w:rsidP="007A0A3F">
      <w:pPr>
        <w:spacing w:before="0"/>
        <w:ind w:left="0"/>
        <w:rPr>
          <w:rFonts w:ascii="Arial" w:hAnsi="Arial" w:cs="Arial"/>
          <w:i/>
          <w:sz w:val="20"/>
        </w:rPr>
      </w:pPr>
    </w:p>
    <w:p w:rsidR="007A0A3F" w:rsidRPr="00D226E9" w:rsidRDefault="007A0A3F" w:rsidP="007A0A3F">
      <w:pPr>
        <w:spacing w:before="0"/>
        <w:ind w:left="0"/>
        <w:rPr>
          <w:rFonts w:ascii="Arial" w:hAnsi="Arial" w:cs="Arial"/>
          <w:sz w:val="20"/>
        </w:rPr>
      </w:pPr>
      <w:r w:rsidRPr="00D226E9">
        <w:rPr>
          <w:rFonts w:ascii="Arial" w:hAnsi="Arial" w:cs="Arial"/>
          <w:i/>
          <w:sz w:val="20"/>
        </w:rPr>
        <w:t xml:space="preserve">Note. </w:t>
      </w:r>
      <w:r w:rsidRPr="00D226E9">
        <w:rPr>
          <w:rFonts w:ascii="Arial" w:hAnsi="Arial" w:cs="Arial"/>
          <w:sz w:val="20"/>
        </w:rPr>
        <w:t xml:space="preserve">The diagonal line represents no pre-post change on the CAARS-INV and the dashed upper and lower lines represent the boundaries of the 95% CI of the Reliable Change Index. </w:t>
      </w:r>
    </w:p>
    <w:p w:rsidR="00A1464B" w:rsidRPr="00D226E9" w:rsidRDefault="00A1464B" w:rsidP="00D226E9">
      <w:pPr>
        <w:rPr>
          <w:rFonts w:ascii="Arial" w:hAnsi="Arial" w:cs="Arial"/>
          <w:sz w:val="20"/>
        </w:rPr>
      </w:pPr>
    </w:p>
    <w:sectPr w:rsidR="00A1464B" w:rsidRPr="00D226E9" w:rsidSect="0015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6E9"/>
    <w:rsid w:val="00005FA1"/>
    <w:rsid w:val="00151DDC"/>
    <w:rsid w:val="001E7E0F"/>
    <w:rsid w:val="003E6CBC"/>
    <w:rsid w:val="00403002"/>
    <w:rsid w:val="00435A87"/>
    <w:rsid w:val="00485531"/>
    <w:rsid w:val="005D376C"/>
    <w:rsid w:val="00634DC2"/>
    <w:rsid w:val="006A47DF"/>
    <w:rsid w:val="006C4B7C"/>
    <w:rsid w:val="006E186C"/>
    <w:rsid w:val="007A0A3F"/>
    <w:rsid w:val="007D225B"/>
    <w:rsid w:val="007F777E"/>
    <w:rsid w:val="00830F0E"/>
    <w:rsid w:val="008E2518"/>
    <w:rsid w:val="00A1464B"/>
    <w:rsid w:val="00A172F3"/>
    <w:rsid w:val="00A30D50"/>
    <w:rsid w:val="00A47D70"/>
    <w:rsid w:val="00A755A9"/>
    <w:rsid w:val="00A86024"/>
    <w:rsid w:val="00AA0B9C"/>
    <w:rsid w:val="00B8412A"/>
    <w:rsid w:val="00C209DA"/>
    <w:rsid w:val="00CE7BF3"/>
    <w:rsid w:val="00D226E9"/>
    <w:rsid w:val="00D22A89"/>
    <w:rsid w:val="00D91EFD"/>
    <w:rsid w:val="00DE1DCE"/>
    <w:rsid w:val="00F83597"/>
    <w:rsid w:val="00FA3A45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E9"/>
    <w:pPr>
      <w:spacing w:before="40" w:after="0" w:line="240" w:lineRule="auto"/>
      <w:ind w:left="113"/>
    </w:pPr>
    <w:rPr>
      <w:rFonts w:ascii="Times New Roman" w:eastAsia="Times New Roman" w:hAnsi="Times New Roman" w:cs="Times New Roman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E9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D226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E9"/>
    <w:rPr>
      <w:rFonts w:ascii="Tahoma" w:eastAsia="Times New Roman" w:hAnsi="Tahoma" w:cs="Tahoma"/>
      <w:sz w:val="16"/>
      <w:szCs w:val="16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FCEF-FE19-4355-95A0-FA74265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Schellekens</dc:creator>
  <cp:lastModifiedBy>Senthil C. Kumari</cp:lastModifiedBy>
  <cp:revision>15</cp:revision>
  <dcterms:created xsi:type="dcterms:W3CDTF">2017-12-19T13:36:00Z</dcterms:created>
  <dcterms:modified xsi:type="dcterms:W3CDTF">2018-02-27T07:25:00Z</dcterms:modified>
</cp:coreProperties>
</file>