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092BB8" w:rsidRPr="00B46759" w:rsidRDefault="00092BB8" w:rsidP="00F4762E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bookmarkStart w:id="0" w:name="_GoBack"/>
      <w:bookmarkEnd w:id="0"/>
      <w:r w:rsidRPr="00B46759">
        <w:rPr>
          <w:rFonts w:ascii="Arial" w:hAnsi="Arial" w:cs="Arial"/>
          <w:b/>
          <w:sz w:val="16"/>
          <w:szCs w:val="16"/>
          <w:lang w:val="en-US"/>
        </w:rPr>
        <w:t>Supplementary data:</w:t>
      </w:r>
    </w:p>
    <w:p w:rsidR="00092BB8" w:rsidRPr="00B46759" w:rsidRDefault="00092BB8" w:rsidP="00F4762E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p w:rsidR="00092BB8" w:rsidRPr="00B46759" w:rsidRDefault="00092BB8" w:rsidP="00F4762E">
      <w:pPr>
        <w:jc w:val="both"/>
        <w:rPr>
          <w:rFonts w:ascii="Arial" w:hAnsi="Arial" w:cs="Arial"/>
          <w:b/>
          <w:sz w:val="16"/>
          <w:szCs w:val="16"/>
          <w:lang w:val="en-US"/>
        </w:rPr>
      </w:pPr>
    </w:p>
    <w:tbl>
      <w:tblPr>
        <w:tblW w:w="0" w:type="auto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0A0"/>
      </w:tblPr>
      <w:tblGrid>
        <w:gridCol w:w="2639"/>
        <w:gridCol w:w="1864"/>
        <w:gridCol w:w="992"/>
        <w:gridCol w:w="992"/>
        <w:gridCol w:w="992"/>
        <w:gridCol w:w="993"/>
      </w:tblGrid>
      <w:tr w:rsidR="00092BB8" w:rsidRPr="005570BE" w:rsidTr="005570BE">
        <w:trPr>
          <w:trHeight w:val="568"/>
        </w:trPr>
        <w:tc>
          <w:tcPr>
            <w:tcW w:w="8472" w:type="dxa"/>
            <w:gridSpan w:val="6"/>
            <w:shd w:val="clear" w:color="auto" w:fill="D9D9D9"/>
          </w:tcPr>
          <w:p w:rsidR="00092BB8" w:rsidRPr="005570BE" w:rsidRDefault="00092BB8" w:rsidP="00B24296">
            <w:pPr>
              <w:spacing w:after="200" w:line="276" w:lineRule="auto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GB"/>
              </w:rPr>
              <w:t>Table ST1. Eq-CPZ/ARS effect on cognitive domains and severity in FEP patients</w:t>
            </w:r>
          </w:p>
        </w:tc>
      </w:tr>
      <w:tr w:rsidR="00092BB8" w:rsidRPr="00B46759" w:rsidTr="005570BE">
        <w:trPr>
          <w:trHeight w:val="568"/>
        </w:trPr>
        <w:tc>
          <w:tcPr>
            <w:tcW w:w="2639" w:type="dxa"/>
            <w:vMerge w:val="restart"/>
            <w:tcBorders>
              <w:right w:val="nil"/>
            </w:tcBorders>
            <w:shd w:val="clear" w:color="auto" w:fill="D9D9D9"/>
          </w:tcPr>
          <w:p w:rsidR="00092BB8" w:rsidRPr="00B46759" w:rsidRDefault="00092BB8" w:rsidP="00B24296">
            <w:pPr>
              <w:jc w:val="both"/>
              <w:rPr>
                <w:rFonts w:ascii="Arial" w:hAnsi="Arial" w:cs="Arial"/>
                <w:b/>
                <w:bCs/>
                <w:color w:val="FFFFFF"/>
                <w:sz w:val="16"/>
                <w:szCs w:val="16"/>
                <w:lang w:val="en-US"/>
              </w:rPr>
            </w:pPr>
          </w:p>
        </w:tc>
        <w:tc>
          <w:tcPr>
            <w:tcW w:w="1864" w:type="dxa"/>
            <w:vMerge w:val="restart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N</w:t>
            </w:r>
          </w:p>
        </w:tc>
        <w:tc>
          <w:tcPr>
            <w:tcW w:w="1984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CPZ eq dose</w:t>
            </w:r>
          </w:p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985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ARS score</w:t>
            </w:r>
          </w:p>
        </w:tc>
      </w:tr>
      <w:tr w:rsidR="00092BB8" w:rsidRPr="00B46759" w:rsidTr="005570BE">
        <w:trPr>
          <w:trHeight w:val="112"/>
        </w:trPr>
        <w:tc>
          <w:tcPr>
            <w:tcW w:w="2639" w:type="dxa"/>
            <w:vMerge/>
            <w:tcBorders>
              <w:right w:val="nil"/>
            </w:tcBorders>
          </w:tcPr>
          <w:p w:rsidR="00092BB8" w:rsidRPr="00B46759" w:rsidRDefault="00092BB8" w:rsidP="00B24296">
            <w:pPr>
              <w:jc w:val="both"/>
              <w:rPr>
                <w:rFonts w:ascii="Arial" w:hAnsi="Arial" w:cs="Arial"/>
                <w:b/>
                <w:bCs/>
                <w:color w:val="365F91"/>
                <w:sz w:val="16"/>
                <w:szCs w:val="16"/>
                <w:lang w:val="en-US"/>
              </w:rPr>
            </w:pPr>
          </w:p>
        </w:tc>
        <w:tc>
          <w:tcPr>
            <w:tcW w:w="1864" w:type="dxa"/>
            <w:vMerge/>
            <w:tcBorders>
              <w:left w:val="nil"/>
              <w:right w:val="nil"/>
            </w:tcBorders>
          </w:tcPr>
          <w:p w:rsidR="00092BB8" w:rsidRPr="00B46759" w:rsidRDefault="00092BB8" w:rsidP="00B24296">
            <w:pPr>
              <w:jc w:val="both"/>
              <w:rPr>
                <w:rFonts w:ascii="Arial" w:hAnsi="Arial" w:cs="Arial"/>
                <w:b/>
                <w:color w:val="365F91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2BB8" w:rsidRPr="005570BE" w:rsidRDefault="00092BB8" w:rsidP="00B2429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r values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2BB8" w:rsidRPr="005570BE" w:rsidRDefault="00092BB8" w:rsidP="00B2429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p values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2BB8" w:rsidRPr="005570BE" w:rsidRDefault="00092BB8" w:rsidP="00B2429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r values</w:t>
            </w:r>
          </w:p>
        </w:tc>
        <w:tc>
          <w:tcPr>
            <w:tcW w:w="993" w:type="dxa"/>
            <w:tcBorders>
              <w:left w:val="nil"/>
            </w:tcBorders>
          </w:tcPr>
          <w:p w:rsidR="00092BB8" w:rsidRPr="005570BE" w:rsidRDefault="00092BB8" w:rsidP="00B24296">
            <w:pPr>
              <w:jc w:val="both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p values</w:t>
            </w:r>
          </w:p>
        </w:tc>
      </w:tr>
      <w:tr w:rsidR="00092BB8" w:rsidRPr="00B46759" w:rsidTr="005570BE">
        <w:tc>
          <w:tcPr>
            <w:tcW w:w="2639" w:type="dxa"/>
            <w:tcBorders>
              <w:right w:val="nil"/>
            </w:tcBorders>
          </w:tcPr>
          <w:p w:rsidR="00092BB8" w:rsidRPr="005570BE" w:rsidRDefault="00092BB8" w:rsidP="00F476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Attention</w:t>
            </w:r>
          </w:p>
          <w:p w:rsidR="00092BB8" w:rsidRPr="005570BE" w:rsidRDefault="00092BB8" w:rsidP="00B24296">
            <w:pPr>
              <w:pStyle w:val="ListParagrap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64" w:type="dxa"/>
            <w:tcBorders>
              <w:left w:val="nil"/>
              <w:righ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241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-0.033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0.615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0.013</w:t>
            </w:r>
          </w:p>
        </w:tc>
        <w:tc>
          <w:tcPr>
            <w:tcW w:w="993" w:type="dxa"/>
            <w:tcBorders>
              <w:lef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0.846</w:t>
            </w:r>
          </w:p>
        </w:tc>
      </w:tr>
      <w:tr w:rsidR="00092BB8" w:rsidRPr="00B46759" w:rsidTr="005570BE">
        <w:tc>
          <w:tcPr>
            <w:tcW w:w="2639" w:type="dxa"/>
            <w:tcBorders>
              <w:right w:val="nil"/>
            </w:tcBorders>
          </w:tcPr>
          <w:p w:rsidR="00092BB8" w:rsidRPr="005570BE" w:rsidRDefault="00092BB8" w:rsidP="00F476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Processing speed</w:t>
            </w:r>
          </w:p>
          <w:p w:rsidR="00092BB8" w:rsidRPr="005570BE" w:rsidRDefault="00092BB8" w:rsidP="00B24296">
            <w:pPr>
              <w:pStyle w:val="ListParagrap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64" w:type="dxa"/>
            <w:tcBorders>
              <w:left w:val="nil"/>
              <w:righ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261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-0.250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 xml:space="preserve"> 0.001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-0.116</w:t>
            </w:r>
          </w:p>
        </w:tc>
        <w:tc>
          <w:tcPr>
            <w:tcW w:w="993" w:type="dxa"/>
            <w:tcBorders>
              <w:lef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0.062</w:t>
            </w:r>
          </w:p>
        </w:tc>
      </w:tr>
      <w:tr w:rsidR="00092BB8" w:rsidRPr="00B46759" w:rsidTr="005570BE">
        <w:tc>
          <w:tcPr>
            <w:tcW w:w="2639" w:type="dxa"/>
            <w:tcBorders>
              <w:right w:val="nil"/>
            </w:tcBorders>
          </w:tcPr>
          <w:p w:rsidR="00092BB8" w:rsidRPr="005570BE" w:rsidRDefault="00092BB8" w:rsidP="00F476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</w:rPr>
            </w:pPr>
            <w:r w:rsidRPr="005570BE">
              <w:rPr>
                <w:rFonts w:ascii="Arial" w:hAnsi="Arial" w:cs="Arial"/>
                <w:b/>
                <w:bCs/>
                <w:sz w:val="16"/>
                <w:szCs w:val="16"/>
              </w:rPr>
              <w:t>Working memory</w:t>
            </w:r>
          </w:p>
          <w:p w:rsidR="00092BB8" w:rsidRPr="005570BE" w:rsidRDefault="00092BB8" w:rsidP="00B24296">
            <w:pPr>
              <w:pStyle w:val="ListParagraph"/>
              <w:rPr>
                <w:rFonts w:ascii="Arial" w:hAnsi="Arial" w:cs="Arial"/>
                <w:b/>
                <w:bCs/>
                <w:sz w:val="16"/>
                <w:szCs w:val="16"/>
              </w:rPr>
            </w:pPr>
          </w:p>
        </w:tc>
        <w:tc>
          <w:tcPr>
            <w:tcW w:w="1864" w:type="dxa"/>
            <w:tcBorders>
              <w:left w:val="nil"/>
              <w:righ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265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-0.190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0.002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-0.106</w:t>
            </w:r>
          </w:p>
        </w:tc>
        <w:tc>
          <w:tcPr>
            <w:tcW w:w="993" w:type="dxa"/>
            <w:tcBorders>
              <w:lef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0.085</w:t>
            </w:r>
          </w:p>
        </w:tc>
      </w:tr>
      <w:tr w:rsidR="00092BB8" w:rsidRPr="00B46759" w:rsidTr="005570BE">
        <w:tc>
          <w:tcPr>
            <w:tcW w:w="2639" w:type="dxa"/>
            <w:tcBorders>
              <w:right w:val="nil"/>
            </w:tcBorders>
          </w:tcPr>
          <w:p w:rsidR="00092BB8" w:rsidRPr="005570BE" w:rsidRDefault="00092BB8" w:rsidP="00F476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Social cognition</w:t>
            </w:r>
          </w:p>
          <w:p w:rsidR="00092BB8" w:rsidRPr="005570BE" w:rsidRDefault="00092BB8" w:rsidP="00B24296">
            <w:pPr>
              <w:pStyle w:val="ListParagrap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64" w:type="dxa"/>
            <w:tcBorders>
              <w:left w:val="nil"/>
              <w:righ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252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-0.030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0.633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-0.021</w:t>
            </w:r>
          </w:p>
        </w:tc>
        <w:tc>
          <w:tcPr>
            <w:tcW w:w="993" w:type="dxa"/>
            <w:tcBorders>
              <w:lef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0.742</w:t>
            </w:r>
          </w:p>
        </w:tc>
      </w:tr>
      <w:tr w:rsidR="00092BB8" w:rsidRPr="00B46759" w:rsidTr="005570BE">
        <w:tc>
          <w:tcPr>
            <w:tcW w:w="2639" w:type="dxa"/>
            <w:tcBorders>
              <w:right w:val="nil"/>
            </w:tcBorders>
          </w:tcPr>
          <w:p w:rsidR="00092BB8" w:rsidRPr="005570BE" w:rsidRDefault="00092BB8" w:rsidP="00F476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Verbal memory</w:t>
            </w:r>
          </w:p>
          <w:p w:rsidR="00092BB8" w:rsidRPr="005570BE" w:rsidRDefault="00092BB8" w:rsidP="00B24296">
            <w:pPr>
              <w:pStyle w:val="ListParagrap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64" w:type="dxa"/>
            <w:tcBorders>
              <w:left w:val="nil"/>
              <w:righ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260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-0.369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 xml:space="preserve"> 0.001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-0.310</w:t>
            </w:r>
          </w:p>
        </w:tc>
        <w:tc>
          <w:tcPr>
            <w:tcW w:w="993" w:type="dxa"/>
            <w:tcBorders>
              <w:lef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 xml:space="preserve"> 0.001</w:t>
            </w:r>
          </w:p>
        </w:tc>
      </w:tr>
      <w:tr w:rsidR="00092BB8" w:rsidRPr="00B46759" w:rsidTr="005570BE">
        <w:tc>
          <w:tcPr>
            <w:tcW w:w="2639" w:type="dxa"/>
            <w:tcBorders>
              <w:right w:val="nil"/>
            </w:tcBorders>
          </w:tcPr>
          <w:p w:rsidR="00092BB8" w:rsidRPr="005570BE" w:rsidRDefault="00092BB8" w:rsidP="00F476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Executive function</w:t>
            </w:r>
          </w:p>
          <w:p w:rsidR="00092BB8" w:rsidRPr="005570BE" w:rsidRDefault="00092BB8" w:rsidP="00B24296">
            <w:pPr>
              <w:pStyle w:val="ListParagrap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64" w:type="dxa"/>
            <w:tcBorders>
              <w:left w:val="nil"/>
              <w:righ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240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-0.222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0.001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-0.151</w:t>
            </w:r>
          </w:p>
        </w:tc>
        <w:tc>
          <w:tcPr>
            <w:tcW w:w="993" w:type="dxa"/>
            <w:tcBorders>
              <w:lef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0.017</w:t>
            </w:r>
          </w:p>
        </w:tc>
      </w:tr>
      <w:tr w:rsidR="00092BB8" w:rsidRPr="00B46759" w:rsidTr="005570BE">
        <w:tc>
          <w:tcPr>
            <w:tcW w:w="2639" w:type="dxa"/>
            <w:tcBorders>
              <w:right w:val="nil"/>
            </w:tcBorders>
          </w:tcPr>
          <w:p w:rsidR="00092BB8" w:rsidRPr="005570BE" w:rsidRDefault="00092BB8" w:rsidP="00F4762E">
            <w:pPr>
              <w:pStyle w:val="ListParagraph"/>
              <w:numPr>
                <w:ilvl w:val="0"/>
                <w:numId w:val="1"/>
              </w:numPr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Global cognition</w:t>
            </w:r>
          </w:p>
          <w:p w:rsidR="00092BB8" w:rsidRPr="005570BE" w:rsidRDefault="00092BB8" w:rsidP="00B24296">
            <w:pPr>
              <w:pStyle w:val="ListParagraph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</w:p>
        </w:tc>
        <w:tc>
          <w:tcPr>
            <w:tcW w:w="1864" w:type="dxa"/>
            <w:tcBorders>
              <w:left w:val="nil"/>
              <w:righ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210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-0.325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 xml:space="preserve"> 0.001</w:t>
            </w:r>
          </w:p>
        </w:tc>
        <w:tc>
          <w:tcPr>
            <w:tcW w:w="992" w:type="dxa"/>
            <w:tcBorders>
              <w:left w:val="nil"/>
              <w:righ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-0.215</w:t>
            </w:r>
          </w:p>
        </w:tc>
        <w:tc>
          <w:tcPr>
            <w:tcW w:w="993" w:type="dxa"/>
            <w:tcBorders>
              <w:left w:val="nil"/>
            </w:tcBorders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sz w:val="16"/>
                <w:szCs w:val="16"/>
                <w:lang w:val="en-US"/>
              </w:rPr>
              <w:t>0.002</w:t>
            </w:r>
          </w:p>
        </w:tc>
      </w:tr>
    </w:tbl>
    <w:p w:rsidR="00092BB8" w:rsidRPr="00B46759" w:rsidRDefault="00092BB8" w:rsidP="00F4762E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B46759">
        <w:rPr>
          <w:rFonts w:ascii="Arial" w:hAnsi="Arial" w:cs="Arial"/>
          <w:b/>
          <w:sz w:val="16"/>
          <w:szCs w:val="16"/>
          <w:lang w:val="en-US"/>
        </w:rPr>
        <w:t xml:space="preserve">Table ST1: Antipsychotic dosage, ARS score and cognitive functioning. r: correlation. p values under 0.007 are statistically significant after Bonferroni correction. </w:t>
      </w:r>
    </w:p>
    <w:p w:rsidR="00092BB8" w:rsidRPr="00B46759" w:rsidRDefault="00092BB8" w:rsidP="00F4762E">
      <w:pPr>
        <w:rPr>
          <w:rFonts w:ascii="Arial" w:hAnsi="Arial" w:cs="Arial"/>
          <w:b/>
          <w:sz w:val="16"/>
          <w:szCs w:val="16"/>
          <w:lang w:val="en-US"/>
        </w:rPr>
      </w:pPr>
      <w:r w:rsidRPr="00B46759">
        <w:rPr>
          <w:rFonts w:ascii="Arial" w:hAnsi="Arial" w:cs="Arial"/>
          <w:b/>
          <w:sz w:val="16"/>
          <w:szCs w:val="16"/>
          <w:lang w:val="en-US"/>
        </w:rPr>
        <w:br w:type="page"/>
      </w:r>
    </w:p>
    <w:tbl>
      <w:tblPr>
        <w:tblW w:w="8488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ook w:val="00A0"/>
      </w:tblPr>
      <w:tblGrid>
        <w:gridCol w:w="1951"/>
        <w:gridCol w:w="1134"/>
        <w:gridCol w:w="992"/>
        <w:gridCol w:w="1134"/>
        <w:gridCol w:w="993"/>
        <w:gridCol w:w="1134"/>
        <w:gridCol w:w="1150"/>
      </w:tblGrid>
      <w:tr w:rsidR="00092BB8" w:rsidRPr="00E9287B" w:rsidTr="005570BE">
        <w:trPr>
          <w:trHeight w:val="698"/>
        </w:trPr>
        <w:tc>
          <w:tcPr>
            <w:tcW w:w="8488" w:type="dxa"/>
            <w:gridSpan w:val="7"/>
            <w:shd w:val="clear" w:color="auto" w:fill="D9D9D9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bCs/>
                <w:color w:val="auto"/>
                <w:sz w:val="16"/>
                <w:szCs w:val="16"/>
                <w:lang w:val="en-US"/>
              </w:rPr>
              <w:t>Table ST2. Coefficient analyses of pharmacological variables</w:t>
            </w:r>
          </w:p>
        </w:tc>
      </w:tr>
      <w:tr w:rsidR="00092BB8" w:rsidRPr="00B46759" w:rsidTr="005570BE">
        <w:trPr>
          <w:trHeight w:val="698"/>
        </w:trPr>
        <w:tc>
          <w:tcPr>
            <w:tcW w:w="1951" w:type="dxa"/>
            <w:vMerge w:val="restart"/>
            <w:tcBorders>
              <w:right w:val="nil"/>
            </w:tcBorders>
            <w:shd w:val="clear" w:color="auto" w:fill="D9D9D9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2126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bCs/>
                <w:color w:val="auto"/>
                <w:sz w:val="16"/>
                <w:szCs w:val="16"/>
                <w:lang w:val="en-US"/>
              </w:rPr>
              <w:t>Eq-CPZ dose</w:t>
            </w:r>
          </w:p>
        </w:tc>
        <w:tc>
          <w:tcPr>
            <w:tcW w:w="2127" w:type="dxa"/>
            <w:gridSpan w:val="2"/>
            <w:tcBorders>
              <w:left w:val="nil"/>
              <w:right w:val="nil"/>
            </w:tcBorders>
            <w:shd w:val="clear" w:color="auto" w:fill="D9D9D9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bCs/>
                <w:color w:val="auto"/>
                <w:sz w:val="16"/>
                <w:szCs w:val="16"/>
                <w:lang w:val="en-US"/>
              </w:rPr>
              <w:t>ARS score</w:t>
            </w:r>
          </w:p>
        </w:tc>
        <w:tc>
          <w:tcPr>
            <w:tcW w:w="2284" w:type="dxa"/>
            <w:gridSpan w:val="2"/>
            <w:tcBorders>
              <w:left w:val="nil"/>
            </w:tcBorders>
            <w:shd w:val="clear" w:color="auto" w:fill="D9D9D9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bCs/>
                <w:color w:val="auto"/>
                <w:sz w:val="16"/>
                <w:szCs w:val="16"/>
                <w:lang w:val="en-US"/>
              </w:rPr>
              <w:t>Premorbid IQ</w:t>
            </w:r>
          </w:p>
        </w:tc>
      </w:tr>
      <w:tr w:rsidR="00092BB8" w:rsidRPr="00B46759" w:rsidTr="005570BE">
        <w:trPr>
          <w:trHeight w:val="232"/>
        </w:trPr>
        <w:tc>
          <w:tcPr>
            <w:tcW w:w="1951" w:type="dxa"/>
            <w:vMerge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134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Beta value</w:t>
            </w:r>
          </w:p>
        </w:tc>
        <w:tc>
          <w:tcPr>
            <w:tcW w:w="992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P value</w:t>
            </w:r>
          </w:p>
        </w:tc>
        <w:tc>
          <w:tcPr>
            <w:tcW w:w="1134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Beta value</w:t>
            </w:r>
          </w:p>
        </w:tc>
        <w:tc>
          <w:tcPr>
            <w:tcW w:w="993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P value</w:t>
            </w:r>
          </w:p>
        </w:tc>
        <w:tc>
          <w:tcPr>
            <w:tcW w:w="1134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Beta value</w:t>
            </w:r>
          </w:p>
        </w:tc>
        <w:tc>
          <w:tcPr>
            <w:tcW w:w="1150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P value</w:t>
            </w:r>
          </w:p>
        </w:tc>
      </w:tr>
      <w:tr w:rsidR="00092BB8" w:rsidRPr="00B46759" w:rsidTr="005570BE">
        <w:trPr>
          <w:trHeight w:val="233"/>
        </w:trPr>
        <w:tc>
          <w:tcPr>
            <w:tcW w:w="1951" w:type="dxa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Processing speed</w:t>
            </w:r>
          </w:p>
        </w:tc>
        <w:tc>
          <w:tcPr>
            <w:tcW w:w="1134" w:type="dxa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-0.181</w:t>
            </w:r>
          </w:p>
        </w:tc>
        <w:tc>
          <w:tcPr>
            <w:tcW w:w="992" w:type="dxa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0.009</w:t>
            </w:r>
          </w:p>
        </w:tc>
        <w:tc>
          <w:tcPr>
            <w:tcW w:w="1134" w:type="dxa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993" w:type="dxa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0.939</w:t>
            </w:r>
          </w:p>
        </w:tc>
        <w:tc>
          <w:tcPr>
            <w:tcW w:w="1134" w:type="dxa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0.271</w:t>
            </w:r>
          </w:p>
        </w:tc>
        <w:tc>
          <w:tcPr>
            <w:tcW w:w="1150" w:type="dxa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 xml:space="preserve"> 0.001</w:t>
            </w:r>
          </w:p>
        </w:tc>
      </w:tr>
      <w:tr w:rsidR="00092BB8" w:rsidRPr="00B46759" w:rsidTr="005570BE">
        <w:trPr>
          <w:trHeight w:val="233"/>
        </w:trPr>
        <w:tc>
          <w:tcPr>
            <w:tcW w:w="1951" w:type="dxa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bCs/>
                <w:color w:val="auto"/>
                <w:sz w:val="16"/>
                <w:szCs w:val="16"/>
                <w:lang w:val="en-US"/>
              </w:rPr>
              <w:t>Verbal memory</w:t>
            </w:r>
          </w:p>
        </w:tc>
        <w:tc>
          <w:tcPr>
            <w:tcW w:w="1134" w:type="dxa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-0.181</w:t>
            </w:r>
          </w:p>
        </w:tc>
        <w:tc>
          <w:tcPr>
            <w:tcW w:w="992" w:type="dxa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134" w:type="dxa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-0.149</w:t>
            </w:r>
          </w:p>
        </w:tc>
        <w:tc>
          <w:tcPr>
            <w:tcW w:w="993" w:type="dxa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0.019</w:t>
            </w:r>
          </w:p>
        </w:tc>
        <w:tc>
          <w:tcPr>
            <w:tcW w:w="1134" w:type="dxa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0.302</w:t>
            </w:r>
          </w:p>
        </w:tc>
        <w:tc>
          <w:tcPr>
            <w:tcW w:w="1150" w:type="dxa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 xml:space="preserve"> 0.001</w:t>
            </w:r>
          </w:p>
        </w:tc>
      </w:tr>
      <w:tr w:rsidR="00092BB8" w:rsidRPr="00B46759" w:rsidTr="005570BE">
        <w:trPr>
          <w:trHeight w:val="233"/>
        </w:trPr>
        <w:tc>
          <w:tcPr>
            <w:tcW w:w="1951" w:type="dxa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bCs/>
                <w:color w:val="auto"/>
                <w:sz w:val="16"/>
                <w:szCs w:val="16"/>
                <w:lang w:val="en-US"/>
              </w:rPr>
              <w:t>Executive functions</w:t>
            </w:r>
          </w:p>
        </w:tc>
        <w:tc>
          <w:tcPr>
            <w:tcW w:w="1134" w:type="dxa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-0.128</w:t>
            </w:r>
          </w:p>
        </w:tc>
        <w:tc>
          <w:tcPr>
            <w:tcW w:w="992" w:type="dxa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0.083</w:t>
            </w:r>
          </w:p>
        </w:tc>
        <w:tc>
          <w:tcPr>
            <w:tcW w:w="1134" w:type="dxa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-0.055</w:t>
            </w:r>
          </w:p>
        </w:tc>
        <w:tc>
          <w:tcPr>
            <w:tcW w:w="993" w:type="dxa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0.442</w:t>
            </w:r>
          </w:p>
        </w:tc>
        <w:tc>
          <w:tcPr>
            <w:tcW w:w="1134" w:type="dxa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0.222</w:t>
            </w:r>
          </w:p>
        </w:tc>
        <w:tc>
          <w:tcPr>
            <w:tcW w:w="1150" w:type="dxa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0.002</w:t>
            </w:r>
          </w:p>
        </w:tc>
      </w:tr>
      <w:tr w:rsidR="00092BB8" w:rsidRPr="00B46759" w:rsidTr="005570BE">
        <w:trPr>
          <w:trHeight w:val="233"/>
        </w:trPr>
        <w:tc>
          <w:tcPr>
            <w:tcW w:w="1951" w:type="dxa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bCs/>
                <w:color w:val="auto"/>
                <w:sz w:val="16"/>
                <w:szCs w:val="16"/>
                <w:lang w:val="en-US"/>
              </w:rPr>
              <w:t>Global cognition</w:t>
            </w:r>
          </w:p>
        </w:tc>
        <w:tc>
          <w:tcPr>
            <w:tcW w:w="1134" w:type="dxa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-0.134</w:t>
            </w:r>
          </w:p>
        </w:tc>
        <w:tc>
          <w:tcPr>
            <w:tcW w:w="992" w:type="dxa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0.012</w:t>
            </w:r>
          </w:p>
        </w:tc>
        <w:tc>
          <w:tcPr>
            <w:tcW w:w="1134" w:type="dxa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-0.064</w:t>
            </w:r>
          </w:p>
        </w:tc>
        <w:tc>
          <w:tcPr>
            <w:tcW w:w="993" w:type="dxa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0.213</w:t>
            </w:r>
          </w:p>
        </w:tc>
        <w:tc>
          <w:tcPr>
            <w:tcW w:w="1134" w:type="dxa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0.514</w:t>
            </w:r>
          </w:p>
        </w:tc>
        <w:tc>
          <w:tcPr>
            <w:tcW w:w="1150" w:type="dxa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 xml:space="preserve"> 0.001</w:t>
            </w:r>
          </w:p>
        </w:tc>
      </w:tr>
    </w:tbl>
    <w:p w:rsidR="00092BB8" w:rsidRPr="00B46759" w:rsidRDefault="00092BB8" w:rsidP="00F4762E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B46759">
        <w:rPr>
          <w:rFonts w:ascii="Arial" w:hAnsi="Arial" w:cs="Arial"/>
          <w:b/>
          <w:sz w:val="16"/>
          <w:szCs w:val="16"/>
          <w:lang w:val="en-US"/>
        </w:rPr>
        <w:t>Table ST2: Model summary of HMR coefficients analyses summarizing individual variable results of significant Step 4 results in the whole sample (related to pharmacological variables).</w:t>
      </w:r>
    </w:p>
    <w:p w:rsidR="00092BB8" w:rsidRPr="00B46759" w:rsidRDefault="00092BB8" w:rsidP="00F4762E">
      <w:pPr>
        <w:spacing w:after="200" w:line="276" w:lineRule="auto"/>
        <w:rPr>
          <w:rFonts w:ascii="Arial" w:hAnsi="Arial" w:cs="Arial"/>
          <w:b/>
          <w:sz w:val="16"/>
          <w:szCs w:val="16"/>
          <w:lang w:val="en-US"/>
        </w:rPr>
      </w:pPr>
      <w:r w:rsidRPr="00B46759">
        <w:rPr>
          <w:rFonts w:ascii="Arial" w:hAnsi="Arial" w:cs="Arial"/>
          <w:b/>
          <w:sz w:val="16"/>
          <w:szCs w:val="16"/>
          <w:lang w:val="en-US"/>
        </w:rPr>
        <w:br w:type="page"/>
      </w:r>
    </w:p>
    <w:tbl>
      <w:tblPr>
        <w:tblW w:w="7905" w:type="dxa"/>
        <w:tblBorders>
          <w:top w:val="single" w:sz="8" w:space="0" w:color="auto"/>
          <w:left w:val="single" w:sz="8" w:space="0" w:color="auto"/>
          <w:bottom w:val="single" w:sz="8" w:space="0" w:color="auto"/>
          <w:right w:val="single" w:sz="8" w:space="0" w:color="auto"/>
          <w:insideH w:val="single" w:sz="8" w:space="0" w:color="auto"/>
        </w:tblBorders>
        <w:tblLayout w:type="fixed"/>
        <w:tblLook w:val="00A0"/>
      </w:tblPr>
      <w:tblGrid>
        <w:gridCol w:w="1277"/>
        <w:gridCol w:w="992"/>
        <w:gridCol w:w="1667"/>
        <w:gridCol w:w="1984"/>
        <w:gridCol w:w="1985"/>
      </w:tblGrid>
      <w:tr w:rsidR="00092BB8" w:rsidRPr="005570BE" w:rsidTr="005570BE">
        <w:tc>
          <w:tcPr>
            <w:tcW w:w="7905" w:type="dxa"/>
            <w:gridSpan w:val="5"/>
            <w:shd w:val="clear" w:color="auto" w:fill="D9D9D9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bCs/>
                <w:color w:val="auto"/>
                <w:sz w:val="16"/>
                <w:szCs w:val="16"/>
                <w:lang w:val="en-US"/>
              </w:rPr>
              <w:t>Table ST3. Cognition, AP dose and anticholinergic load</w:t>
            </w:r>
          </w:p>
        </w:tc>
      </w:tr>
      <w:tr w:rsidR="00092BB8" w:rsidRPr="00B46759" w:rsidTr="005570BE">
        <w:tc>
          <w:tcPr>
            <w:tcW w:w="2269" w:type="dxa"/>
            <w:gridSpan w:val="2"/>
            <w:tcBorders>
              <w:right w:val="single" w:sz="8" w:space="0" w:color="auto"/>
            </w:tcBorders>
            <w:shd w:val="clear" w:color="auto" w:fill="D9D9D9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1667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92BB8" w:rsidRPr="005570BE" w:rsidRDefault="00092BB8" w:rsidP="00B24296">
            <w:pPr>
              <w:jc w:val="center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Low premorbid IQ (p0 to p50)</w:t>
            </w:r>
          </w:p>
        </w:tc>
        <w:tc>
          <w:tcPr>
            <w:tcW w:w="1984" w:type="dxa"/>
            <w:tcBorders>
              <w:left w:val="single" w:sz="8" w:space="0" w:color="auto"/>
              <w:right w:val="single" w:sz="8" w:space="0" w:color="auto"/>
            </w:tcBorders>
            <w:shd w:val="clear" w:color="auto" w:fill="D9D9D9"/>
            <w:vAlign w:val="center"/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High premorbid IQ (p51 to p100)</w:t>
            </w:r>
          </w:p>
        </w:tc>
        <w:tc>
          <w:tcPr>
            <w:tcW w:w="1985" w:type="dxa"/>
            <w:tcBorders>
              <w:left w:val="single" w:sz="8" w:space="0" w:color="auto"/>
            </w:tcBorders>
            <w:shd w:val="clear" w:color="auto" w:fill="D9D9D9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Whole sample</w:t>
            </w:r>
          </w:p>
        </w:tc>
      </w:tr>
      <w:tr w:rsidR="00092BB8" w:rsidRPr="00B46759" w:rsidTr="005570BE">
        <w:trPr>
          <w:trHeight w:val="190"/>
        </w:trPr>
        <w:tc>
          <w:tcPr>
            <w:tcW w:w="1277" w:type="dxa"/>
            <w:vMerge w:val="restart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bCs/>
                <w:color w:val="auto"/>
                <w:sz w:val="16"/>
                <w:szCs w:val="16"/>
                <w:lang w:val="en-US"/>
              </w:rPr>
              <w:t>Attention</w:t>
            </w:r>
          </w:p>
        </w:tc>
        <w:tc>
          <w:tcPr>
            <w:tcW w:w="992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R² change</w:t>
            </w:r>
          </w:p>
        </w:tc>
        <w:tc>
          <w:tcPr>
            <w:tcW w:w="1667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0.015</w:t>
            </w:r>
          </w:p>
        </w:tc>
        <w:tc>
          <w:tcPr>
            <w:tcW w:w="1984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0.031</w:t>
            </w:r>
          </w:p>
        </w:tc>
        <w:tc>
          <w:tcPr>
            <w:tcW w:w="1985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0.003</w:t>
            </w:r>
          </w:p>
        </w:tc>
      </w:tr>
      <w:tr w:rsidR="00092BB8" w:rsidRPr="00B46759" w:rsidTr="005570BE">
        <w:trPr>
          <w:trHeight w:val="190"/>
        </w:trPr>
        <w:tc>
          <w:tcPr>
            <w:tcW w:w="1277" w:type="dxa"/>
            <w:vMerge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F change</w:t>
            </w:r>
          </w:p>
        </w:tc>
        <w:tc>
          <w:tcPr>
            <w:tcW w:w="1667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0.846</w:t>
            </w:r>
          </w:p>
        </w:tc>
        <w:tc>
          <w:tcPr>
            <w:tcW w:w="1984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1.967</w:t>
            </w:r>
          </w:p>
        </w:tc>
        <w:tc>
          <w:tcPr>
            <w:tcW w:w="1985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0.342</w:t>
            </w:r>
          </w:p>
        </w:tc>
      </w:tr>
      <w:tr w:rsidR="00092BB8" w:rsidRPr="00B46759" w:rsidTr="005570BE">
        <w:trPr>
          <w:trHeight w:val="190"/>
        </w:trPr>
        <w:tc>
          <w:tcPr>
            <w:tcW w:w="1277" w:type="dxa"/>
            <w:vMerge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P values</w:t>
            </w:r>
          </w:p>
        </w:tc>
        <w:tc>
          <w:tcPr>
            <w:tcW w:w="1667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0.432</w:t>
            </w:r>
          </w:p>
        </w:tc>
        <w:tc>
          <w:tcPr>
            <w:tcW w:w="1984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0.145</w:t>
            </w:r>
          </w:p>
        </w:tc>
        <w:tc>
          <w:tcPr>
            <w:tcW w:w="1985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0.711</w:t>
            </w:r>
          </w:p>
        </w:tc>
      </w:tr>
      <w:tr w:rsidR="00092BB8" w:rsidRPr="00B46759" w:rsidTr="005570BE">
        <w:trPr>
          <w:trHeight w:val="245"/>
        </w:trPr>
        <w:tc>
          <w:tcPr>
            <w:tcW w:w="1277" w:type="dxa"/>
            <w:vMerge w:val="restart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Fonts w:ascii="Arial" w:hAnsi="Arial" w:cs="Arial"/>
                <w:b/>
                <w:bCs/>
                <w:sz w:val="16"/>
                <w:szCs w:val="16"/>
                <w:lang w:val="en-US"/>
              </w:rPr>
              <w:t>Processing speed</w:t>
            </w:r>
          </w:p>
        </w:tc>
        <w:tc>
          <w:tcPr>
            <w:tcW w:w="992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R² change</w:t>
            </w:r>
          </w:p>
        </w:tc>
        <w:tc>
          <w:tcPr>
            <w:tcW w:w="1667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0.022</w:t>
            </w:r>
          </w:p>
        </w:tc>
        <w:tc>
          <w:tcPr>
            <w:tcW w:w="1984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0.087</w:t>
            </w:r>
          </w:p>
        </w:tc>
        <w:tc>
          <w:tcPr>
            <w:tcW w:w="1985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0.028</w:t>
            </w:r>
          </w:p>
        </w:tc>
      </w:tr>
      <w:tr w:rsidR="00092BB8" w:rsidRPr="00B46759" w:rsidTr="005570BE">
        <w:trPr>
          <w:trHeight w:val="245"/>
        </w:trPr>
        <w:tc>
          <w:tcPr>
            <w:tcW w:w="1277" w:type="dxa"/>
            <w:vMerge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F change</w:t>
            </w:r>
          </w:p>
        </w:tc>
        <w:tc>
          <w:tcPr>
            <w:tcW w:w="1667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1.530</w:t>
            </w:r>
          </w:p>
        </w:tc>
        <w:tc>
          <w:tcPr>
            <w:tcW w:w="1984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7.178</w:t>
            </w:r>
          </w:p>
        </w:tc>
        <w:tc>
          <w:tcPr>
            <w:tcW w:w="1985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4.426</w:t>
            </w:r>
          </w:p>
        </w:tc>
      </w:tr>
      <w:tr w:rsidR="00092BB8" w:rsidRPr="00B46759" w:rsidTr="005570BE">
        <w:trPr>
          <w:trHeight w:val="245"/>
        </w:trPr>
        <w:tc>
          <w:tcPr>
            <w:tcW w:w="1277" w:type="dxa"/>
            <w:vMerge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P values</w:t>
            </w:r>
          </w:p>
        </w:tc>
        <w:tc>
          <w:tcPr>
            <w:tcW w:w="1667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0.221</w:t>
            </w:r>
          </w:p>
        </w:tc>
        <w:tc>
          <w:tcPr>
            <w:tcW w:w="1984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0.001</w:t>
            </w:r>
          </w:p>
        </w:tc>
        <w:tc>
          <w:tcPr>
            <w:tcW w:w="1985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0.013</w:t>
            </w:r>
          </w:p>
        </w:tc>
      </w:tr>
      <w:tr w:rsidR="00092BB8" w:rsidRPr="00B46759" w:rsidTr="005570BE">
        <w:trPr>
          <w:trHeight w:val="245"/>
        </w:trPr>
        <w:tc>
          <w:tcPr>
            <w:tcW w:w="1277" w:type="dxa"/>
            <w:vMerge w:val="restart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bCs/>
                <w:color w:val="auto"/>
                <w:sz w:val="16"/>
                <w:szCs w:val="16"/>
                <w:lang w:val="en-US"/>
              </w:rPr>
              <w:t>Working memory</w:t>
            </w:r>
          </w:p>
        </w:tc>
        <w:tc>
          <w:tcPr>
            <w:tcW w:w="992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R² change</w:t>
            </w:r>
          </w:p>
        </w:tc>
        <w:tc>
          <w:tcPr>
            <w:tcW w:w="1667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0.045</w:t>
            </w:r>
          </w:p>
        </w:tc>
        <w:tc>
          <w:tcPr>
            <w:tcW w:w="1984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985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0.011</w:t>
            </w:r>
          </w:p>
        </w:tc>
      </w:tr>
      <w:tr w:rsidR="00092BB8" w:rsidRPr="00B46759" w:rsidTr="005570BE">
        <w:trPr>
          <w:trHeight w:val="245"/>
        </w:trPr>
        <w:tc>
          <w:tcPr>
            <w:tcW w:w="1277" w:type="dxa"/>
            <w:vMerge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F change</w:t>
            </w:r>
          </w:p>
        </w:tc>
        <w:tc>
          <w:tcPr>
            <w:tcW w:w="1667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3.814</w:t>
            </w:r>
          </w:p>
        </w:tc>
        <w:tc>
          <w:tcPr>
            <w:tcW w:w="1984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0.358</w:t>
            </w:r>
          </w:p>
        </w:tc>
        <w:tc>
          <w:tcPr>
            <w:tcW w:w="1985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2.039</w:t>
            </w:r>
          </w:p>
        </w:tc>
      </w:tr>
      <w:tr w:rsidR="00092BB8" w:rsidRPr="00B46759" w:rsidTr="005570BE">
        <w:trPr>
          <w:trHeight w:val="245"/>
        </w:trPr>
        <w:tc>
          <w:tcPr>
            <w:tcW w:w="1277" w:type="dxa"/>
            <w:vMerge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P values</w:t>
            </w:r>
          </w:p>
        </w:tc>
        <w:tc>
          <w:tcPr>
            <w:tcW w:w="1667" w:type="dxa"/>
            <w:vAlign w:val="center"/>
          </w:tcPr>
          <w:p w:rsidR="00092BB8" w:rsidRPr="005570BE" w:rsidRDefault="00092BB8" w:rsidP="00B24296">
            <w:pPr>
              <w:jc w:val="center"/>
              <w:rPr>
                <w:rFonts w:ascii="Arial" w:hAnsi="Arial" w:cs="Arial"/>
                <w:b/>
                <w:sz w:val="16"/>
                <w:szCs w:val="16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0.025</w:t>
            </w:r>
          </w:p>
        </w:tc>
        <w:tc>
          <w:tcPr>
            <w:tcW w:w="1984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0.700</w:t>
            </w:r>
          </w:p>
        </w:tc>
        <w:tc>
          <w:tcPr>
            <w:tcW w:w="1985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0.132</w:t>
            </w:r>
          </w:p>
        </w:tc>
      </w:tr>
      <w:tr w:rsidR="00092BB8" w:rsidRPr="00B46759" w:rsidTr="005570BE">
        <w:trPr>
          <w:trHeight w:val="245"/>
        </w:trPr>
        <w:tc>
          <w:tcPr>
            <w:tcW w:w="1277" w:type="dxa"/>
            <w:vMerge w:val="restart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bCs/>
                <w:color w:val="auto"/>
                <w:sz w:val="16"/>
                <w:szCs w:val="16"/>
                <w:lang w:val="en-US"/>
              </w:rPr>
              <w:t>Social cognition</w:t>
            </w:r>
          </w:p>
        </w:tc>
        <w:tc>
          <w:tcPr>
            <w:tcW w:w="992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R² change</w:t>
            </w:r>
          </w:p>
        </w:tc>
        <w:tc>
          <w:tcPr>
            <w:tcW w:w="1667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0.005</w:t>
            </w:r>
          </w:p>
        </w:tc>
        <w:tc>
          <w:tcPr>
            <w:tcW w:w="1984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0.007</w:t>
            </w:r>
          </w:p>
        </w:tc>
        <w:tc>
          <w:tcPr>
            <w:tcW w:w="1985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0.002</w:t>
            </w:r>
          </w:p>
        </w:tc>
      </w:tr>
      <w:tr w:rsidR="00092BB8" w:rsidRPr="00B46759" w:rsidTr="005570BE">
        <w:trPr>
          <w:trHeight w:val="245"/>
        </w:trPr>
        <w:tc>
          <w:tcPr>
            <w:tcW w:w="1277" w:type="dxa"/>
            <w:vMerge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F change</w:t>
            </w:r>
          </w:p>
        </w:tc>
        <w:tc>
          <w:tcPr>
            <w:tcW w:w="1667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0.321</w:t>
            </w:r>
          </w:p>
        </w:tc>
        <w:tc>
          <w:tcPr>
            <w:tcW w:w="1984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0.478</w:t>
            </w:r>
          </w:p>
        </w:tc>
        <w:tc>
          <w:tcPr>
            <w:tcW w:w="1985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0.292</w:t>
            </w:r>
          </w:p>
        </w:tc>
      </w:tr>
      <w:tr w:rsidR="00092BB8" w:rsidRPr="00B46759" w:rsidTr="005570BE">
        <w:trPr>
          <w:trHeight w:val="245"/>
        </w:trPr>
        <w:tc>
          <w:tcPr>
            <w:tcW w:w="1277" w:type="dxa"/>
            <w:vMerge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P values</w:t>
            </w:r>
          </w:p>
        </w:tc>
        <w:tc>
          <w:tcPr>
            <w:tcW w:w="1667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0.726</w:t>
            </w:r>
          </w:p>
        </w:tc>
        <w:tc>
          <w:tcPr>
            <w:tcW w:w="1984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0.622</w:t>
            </w:r>
          </w:p>
        </w:tc>
        <w:tc>
          <w:tcPr>
            <w:tcW w:w="1985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0.747</w:t>
            </w:r>
          </w:p>
        </w:tc>
      </w:tr>
      <w:tr w:rsidR="00092BB8" w:rsidRPr="00B46759" w:rsidTr="005570BE">
        <w:trPr>
          <w:trHeight w:val="245"/>
        </w:trPr>
        <w:tc>
          <w:tcPr>
            <w:tcW w:w="1277" w:type="dxa"/>
            <w:vMerge w:val="restart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bCs/>
                <w:color w:val="auto"/>
                <w:sz w:val="16"/>
                <w:szCs w:val="16"/>
                <w:lang w:val="en-US"/>
              </w:rPr>
              <w:t>Verbal memory</w:t>
            </w:r>
          </w:p>
        </w:tc>
        <w:tc>
          <w:tcPr>
            <w:tcW w:w="992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R² change</w:t>
            </w:r>
          </w:p>
        </w:tc>
        <w:tc>
          <w:tcPr>
            <w:tcW w:w="1667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0.087</w:t>
            </w:r>
          </w:p>
        </w:tc>
        <w:tc>
          <w:tcPr>
            <w:tcW w:w="1984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0.045</w:t>
            </w:r>
          </w:p>
        </w:tc>
        <w:tc>
          <w:tcPr>
            <w:tcW w:w="1985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0.074</w:t>
            </w:r>
          </w:p>
        </w:tc>
      </w:tr>
      <w:tr w:rsidR="00092BB8" w:rsidRPr="00B46759" w:rsidTr="005570BE">
        <w:trPr>
          <w:trHeight w:val="245"/>
        </w:trPr>
        <w:tc>
          <w:tcPr>
            <w:tcW w:w="1277" w:type="dxa"/>
            <w:vMerge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F change</w:t>
            </w:r>
          </w:p>
        </w:tc>
        <w:tc>
          <w:tcPr>
            <w:tcW w:w="1667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6.535</w:t>
            </w:r>
          </w:p>
        </w:tc>
        <w:tc>
          <w:tcPr>
            <w:tcW w:w="1984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3.463</w:t>
            </w:r>
          </w:p>
        </w:tc>
        <w:tc>
          <w:tcPr>
            <w:tcW w:w="1985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12.946</w:t>
            </w:r>
          </w:p>
        </w:tc>
      </w:tr>
      <w:tr w:rsidR="00092BB8" w:rsidRPr="00B46759" w:rsidTr="005570BE">
        <w:trPr>
          <w:trHeight w:val="245"/>
        </w:trPr>
        <w:tc>
          <w:tcPr>
            <w:tcW w:w="1277" w:type="dxa"/>
            <w:vMerge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P values</w:t>
            </w:r>
          </w:p>
        </w:tc>
        <w:tc>
          <w:tcPr>
            <w:tcW w:w="1667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0.002</w:t>
            </w:r>
          </w:p>
        </w:tc>
        <w:tc>
          <w:tcPr>
            <w:tcW w:w="1984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0.035</w:t>
            </w:r>
          </w:p>
        </w:tc>
        <w:tc>
          <w:tcPr>
            <w:tcW w:w="1985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 xml:space="preserve"> 0.001</w:t>
            </w:r>
          </w:p>
        </w:tc>
      </w:tr>
      <w:tr w:rsidR="00092BB8" w:rsidRPr="00B46759" w:rsidTr="005570BE">
        <w:trPr>
          <w:trHeight w:val="245"/>
        </w:trPr>
        <w:tc>
          <w:tcPr>
            <w:tcW w:w="1277" w:type="dxa"/>
            <w:vMerge w:val="restart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bCs/>
                <w:color w:val="auto"/>
                <w:sz w:val="16"/>
                <w:szCs w:val="16"/>
                <w:lang w:val="en-US"/>
              </w:rPr>
              <w:t>Executive functions</w:t>
            </w:r>
          </w:p>
        </w:tc>
        <w:tc>
          <w:tcPr>
            <w:tcW w:w="992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R² change</w:t>
            </w:r>
          </w:p>
        </w:tc>
        <w:tc>
          <w:tcPr>
            <w:tcW w:w="1667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0.062</w:t>
            </w:r>
          </w:p>
        </w:tc>
        <w:tc>
          <w:tcPr>
            <w:tcW w:w="1984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0.040</w:t>
            </w:r>
          </w:p>
        </w:tc>
        <w:tc>
          <w:tcPr>
            <w:tcW w:w="1985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0.024</w:t>
            </w:r>
          </w:p>
        </w:tc>
      </w:tr>
      <w:tr w:rsidR="00092BB8" w:rsidRPr="00B46759" w:rsidTr="005570BE">
        <w:trPr>
          <w:trHeight w:val="245"/>
        </w:trPr>
        <w:tc>
          <w:tcPr>
            <w:tcW w:w="1277" w:type="dxa"/>
            <w:vMerge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F change</w:t>
            </w:r>
          </w:p>
        </w:tc>
        <w:tc>
          <w:tcPr>
            <w:tcW w:w="1667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3.788</w:t>
            </w:r>
          </w:p>
        </w:tc>
        <w:tc>
          <w:tcPr>
            <w:tcW w:w="1984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2.631</w:t>
            </w:r>
          </w:p>
        </w:tc>
        <w:tc>
          <w:tcPr>
            <w:tcW w:w="1985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3.202</w:t>
            </w:r>
          </w:p>
        </w:tc>
      </w:tr>
      <w:tr w:rsidR="00092BB8" w:rsidRPr="00B46759" w:rsidTr="005570BE">
        <w:trPr>
          <w:trHeight w:val="245"/>
        </w:trPr>
        <w:tc>
          <w:tcPr>
            <w:tcW w:w="1277" w:type="dxa"/>
            <w:vMerge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P values</w:t>
            </w:r>
          </w:p>
        </w:tc>
        <w:tc>
          <w:tcPr>
            <w:tcW w:w="1667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0.026</w:t>
            </w:r>
          </w:p>
        </w:tc>
        <w:tc>
          <w:tcPr>
            <w:tcW w:w="1984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0.076</w:t>
            </w:r>
          </w:p>
        </w:tc>
        <w:tc>
          <w:tcPr>
            <w:tcW w:w="1985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0.043</w:t>
            </w:r>
          </w:p>
        </w:tc>
      </w:tr>
      <w:tr w:rsidR="00092BB8" w:rsidRPr="00B46759" w:rsidTr="005570BE">
        <w:trPr>
          <w:trHeight w:val="245"/>
        </w:trPr>
        <w:tc>
          <w:tcPr>
            <w:tcW w:w="1277" w:type="dxa"/>
            <w:vMerge w:val="restart"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bCs/>
                <w:color w:val="auto"/>
                <w:sz w:val="16"/>
                <w:szCs w:val="16"/>
                <w:lang w:val="en-US"/>
              </w:rPr>
              <w:t>Global cognition</w:t>
            </w:r>
          </w:p>
        </w:tc>
        <w:tc>
          <w:tcPr>
            <w:tcW w:w="992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R² change</w:t>
            </w:r>
          </w:p>
        </w:tc>
        <w:tc>
          <w:tcPr>
            <w:tcW w:w="1667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0.085</w:t>
            </w:r>
          </w:p>
        </w:tc>
        <w:tc>
          <w:tcPr>
            <w:tcW w:w="1984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0.037</w:t>
            </w:r>
          </w:p>
        </w:tc>
        <w:tc>
          <w:tcPr>
            <w:tcW w:w="1985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0.027</w:t>
            </w:r>
          </w:p>
        </w:tc>
      </w:tr>
      <w:tr w:rsidR="00092BB8" w:rsidRPr="00B46759" w:rsidTr="005570BE">
        <w:trPr>
          <w:trHeight w:val="245"/>
        </w:trPr>
        <w:tc>
          <w:tcPr>
            <w:tcW w:w="1277" w:type="dxa"/>
            <w:vMerge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F change</w:t>
            </w:r>
          </w:p>
        </w:tc>
        <w:tc>
          <w:tcPr>
            <w:tcW w:w="1667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7.967</w:t>
            </w:r>
          </w:p>
        </w:tc>
        <w:tc>
          <w:tcPr>
            <w:tcW w:w="1984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2.870</w:t>
            </w:r>
          </w:p>
        </w:tc>
        <w:tc>
          <w:tcPr>
            <w:tcW w:w="1985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7.199</w:t>
            </w:r>
          </w:p>
        </w:tc>
      </w:tr>
      <w:tr w:rsidR="00092BB8" w:rsidRPr="00B46759" w:rsidTr="005570BE">
        <w:trPr>
          <w:trHeight w:val="245"/>
        </w:trPr>
        <w:tc>
          <w:tcPr>
            <w:tcW w:w="1277" w:type="dxa"/>
            <w:vMerge/>
          </w:tcPr>
          <w:p w:rsidR="00092BB8" w:rsidRPr="005570BE" w:rsidRDefault="00092BB8" w:rsidP="00B24296">
            <w:pPr>
              <w:spacing w:after="200" w:line="276" w:lineRule="auto"/>
              <w:rPr>
                <w:rStyle w:val="SubtleEmphasis"/>
                <w:rFonts w:ascii="Arial" w:hAnsi="Arial" w:cs="Arial"/>
                <w:b/>
                <w:bCs/>
                <w:iCs w:val="0"/>
                <w:color w:val="auto"/>
                <w:sz w:val="16"/>
                <w:szCs w:val="16"/>
                <w:lang w:val="en-US"/>
              </w:rPr>
            </w:pPr>
          </w:p>
        </w:tc>
        <w:tc>
          <w:tcPr>
            <w:tcW w:w="992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P values</w:t>
            </w:r>
          </w:p>
        </w:tc>
        <w:tc>
          <w:tcPr>
            <w:tcW w:w="1667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0.001</w:t>
            </w:r>
          </w:p>
        </w:tc>
        <w:tc>
          <w:tcPr>
            <w:tcW w:w="1984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0.062</w:t>
            </w:r>
          </w:p>
        </w:tc>
        <w:tc>
          <w:tcPr>
            <w:tcW w:w="1985" w:type="dxa"/>
            <w:vAlign w:val="center"/>
          </w:tcPr>
          <w:p w:rsidR="00092BB8" w:rsidRPr="005570BE" w:rsidRDefault="00092BB8" w:rsidP="00B24296">
            <w:pPr>
              <w:spacing w:after="200" w:line="276" w:lineRule="auto"/>
              <w:jc w:val="center"/>
              <w:rPr>
                <w:rStyle w:val="SubtleEmphasis"/>
                <w:rFonts w:ascii="Arial" w:hAnsi="Arial" w:cs="Arial"/>
                <w:b/>
                <w:iCs w:val="0"/>
                <w:color w:val="auto"/>
                <w:sz w:val="16"/>
                <w:szCs w:val="16"/>
                <w:lang w:val="en-US"/>
              </w:rPr>
            </w:pPr>
            <w:r w:rsidRPr="005570BE">
              <w:rPr>
                <w:rStyle w:val="SubtleEmphasis"/>
                <w:rFonts w:ascii="Arial" w:hAnsi="Arial" w:cs="Arial"/>
                <w:b/>
                <w:color w:val="auto"/>
                <w:sz w:val="16"/>
                <w:szCs w:val="16"/>
                <w:lang w:val="en-US"/>
              </w:rPr>
              <w:t>0.001</w:t>
            </w:r>
          </w:p>
        </w:tc>
      </w:tr>
    </w:tbl>
    <w:p w:rsidR="00092BB8" w:rsidRPr="00B46759" w:rsidRDefault="00092BB8" w:rsidP="00F4762E">
      <w:pPr>
        <w:jc w:val="both"/>
        <w:rPr>
          <w:rFonts w:ascii="Arial" w:hAnsi="Arial" w:cs="Arial"/>
          <w:b/>
          <w:sz w:val="16"/>
          <w:szCs w:val="16"/>
          <w:lang w:val="en-US"/>
        </w:rPr>
      </w:pPr>
      <w:r w:rsidRPr="00B46759">
        <w:rPr>
          <w:rFonts w:ascii="Arial" w:hAnsi="Arial" w:cs="Arial"/>
          <w:b/>
          <w:sz w:val="16"/>
          <w:szCs w:val="16"/>
          <w:lang w:val="en-US"/>
        </w:rPr>
        <w:t>Table ST3: Model summary of HMR group analyses evaluating cognition at 2-month follow-up in our naturalistic study of first episode patients with schizophrenia disorder. We divided our sample into two groups by premorbid IQ percentile (low and high premorbid IQ groups). Step 4 pharmacological variables (Eq-CPZ dose and ARS score) subgroup and group HMR results are depicted above.</w:t>
      </w:r>
    </w:p>
    <w:p w:rsidR="00092BB8" w:rsidRPr="00100801" w:rsidRDefault="00092BB8" w:rsidP="00F4762E">
      <w:pPr>
        <w:spacing w:after="200" w:line="276" w:lineRule="auto"/>
        <w:rPr>
          <w:lang w:val="en-US"/>
        </w:rPr>
      </w:pPr>
    </w:p>
    <w:p w:rsidR="00092BB8" w:rsidRPr="00F4762E" w:rsidRDefault="00092BB8">
      <w:pPr>
        <w:rPr>
          <w:lang w:val="en-US"/>
        </w:rPr>
      </w:pPr>
    </w:p>
    <w:sectPr w:rsidR="00092BB8" w:rsidRPr="00F4762E" w:rsidSect="005570BE">
      <w:pgSz w:w="11906" w:h="16838"/>
      <w:pgMar w:top="1417" w:right="1701" w:bottom="1417" w:left="1701" w:header="708" w:footer="708" w:gutter="0"/>
      <w:pgBorders w:offsetFrom="page">
        <w:top w:val="dashSmallGap" w:sz="4" w:space="24" w:color="auto"/>
        <w:left w:val="dashSmallGap" w:sz="4" w:space="24" w:color="auto"/>
        <w:bottom w:val="dashSmallGap" w:sz="4" w:space="24" w:color="auto"/>
        <w:right w:val="dashSmallGap" w:sz="4" w:space="24" w:color="auto"/>
      </w:pgBorders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52BC4CAD"/>
    <w:multiLevelType w:val="hybridMultilevel"/>
    <w:tmpl w:val="8570811E"/>
    <w:lvl w:ilvl="0" w:tplc="0C0A000F">
      <w:start w:val="1"/>
      <w:numFmt w:val="decimal"/>
      <w:lvlText w:val="%1."/>
      <w:lvlJc w:val="left"/>
      <w:pPr>
        <w:ind w:left="720" w:hanging="360"/>
      </w:pPr>
      <w:rPr>
        <w:rFonts w:cs="Times New Roman"/>
      </w:rPr>
    </w:lvl>
    <w:lvl w:ilvl="1" w:tplc="0C0A0019" w:tentative="1">
      <w:start w:val="1"/>
      <w:numFmt w:val="lowerLetter"/>
      <w:lvlText w:val="%2."/>
      <w:lvlJc w:val="left"/>
      <w:pPr>
        <w:ind w:left="1440" w:hanging="360"/>
      </w:pPr>
      <w:rPr>
        <w:rFonts w:cs="Times New Roman"/>
      </w:rPr>
    </w:lvl>
    <w:lvl w:ilvl="2" w:tplc="0C0A001B" w:tentative="1">
      <w:start w:val="1"/>
      <w:numFmt w:val="lowerRoman"/>
      <w:lvlText w:val="%3."/>
      <w:lvlJc w:val="right"/>
      <w:pPr>
        <w:ind w:left="2160" w:hanging="180"/>
      </w:pPr>
      <w:rPr>
        <w:rFonts w:cs="Times New Roman"/>
      </w:rPr>
    </w:lvl>
    <w:lvl w:ilvl="3" w:tplc="0C0A000F" w:tentative="1">
      <w:start w:val="1"/>
      <w:numFmt w:val="decimal"/>
      <w:lvlText w:val="%4."/>
      <w:lvlJc w:val="left"/>
      <w:pPr>
        <w:ind w:left="2880" w:hanging="360"/>
      </w:pPr>
      <w:rPr>
        <w:rFonts w:cs="Times New Roman"/>
      </w:rPr>
    </w:lvl>
    <w:lvl w:ilvl="4" w:tplc="0C0A0019" w:tentative="1">
      <w:start w:val="1"/>
      <w:numFmt w:val="lowerLetter"/>
      <w:lvlText w:val="%5."/>
      <w:lvlJc w:val="left"/>
      <w:pPr>
        <w:ind w:left="3600" w:hanging="360"/>
      </w:pPr>
      <w:rPr>
        <w:rFonts w:cs="Times New Roman"/>
      </w:rPr>
    </w:lvl>
    <w:lvl w:ilvl="5" w:tplc="0C0A001B" w:tentative="1">
      <w:start w:val="1"/>
      <w:numFmt w:val="lowerRoman"/>
      <w:lvlText w:val="%6."/>
      <w:lvlJc w:val="right"/>
      <w:pPr>
        <w:ind w:left="4320" w:hanging="180"/>
      </w:pPr>
      <w:rPr>
        <w:rFonts w:cs="Times New Roman"/>
      </w:rPr>
    </w:lvl>
    <w:lvl w:ilvl="6" w:tplc="0C0A000F" w:tentative="1">
      <w:start w:val="1"/>
      <w:numFmt w:val="decimal"/>
      <w:lvlText w:val="%7."/>
      <w:lvlJc w:val="left"/>
      <w:pPr>
        <w:ind w:left="5040" w:hanging="360"/>
      </w:pPr>
      <w:rPr>
        <w:rFonts w:cs="Times New Roman"/>
      </w:rPr>
    </w:lvl>
    <w:lvl w:ilvl="7" w:tplc="0C0A0019" w:tentative="1">
      <w:start w:val="1"/>
      <w:numFmt w:val="lowerLetter"/>
      <w:lvlText w:val="%8."/>
      <w:lvlJc w:val="left"/>
      <w:pPr>
        <w:ind w:left="5760" w:hanging="360"/>
      </w:pPr>
      <w:rPr>
        <w:rFonts w:cs="Times New Roman"/>
      </w:rPr>
    </w:lvl>
    <w:lvl w:ilvl="8" w:tplc="0C0A001B" w:tentative="1">
      <w:start w:val="1"/>
      <w:numFmt w:val="lowerRoman"/>
      <w:lvlText w:val="%9."/>
      <w:lvlJc w:val="right"/>
      <w:pPr>
        <w:ind w:left="6480" w:hanging="180"/>
      </w:pPr>
      <w:rPr>
        <w:rFonts w:cs="Times New Roman"/>
      </w:rPr>
    </w:lvl>
  </w:abstractNum>
  <w:num w:numId="1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hyphenationZone w:val="425"/>
  <w:characterSpacingControl w:val="doNotCompress"/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530874"/>
    <w:rsid w:val="00073FD0"/>
    <w:rsid w:val="00092BB8"/>
    <w:rsid w:val="00100801"/>
    <w:rsid w:val="003E36C8"/>
    <w:rsid w:val="00530874"/>
    <w:rsid w:val="005570BE"/>
    <w:rsid w:val="005C1CC9"/>
    <w:rsid w:val="00A40BE5"/>
    <w:rsid w:val="00B24296"/>
    <w:rsid w:val="00B46759"/>
    <w:rsid w:val="00BF55C7"/>
    <w:rsid w:val="00E9287B"/>
    <w:rsid w:val="00F4762E"/>
    <w:rsid w:val="00FF362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s-ES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sz w:val="22"/>
        <w:szCs w:val="22"/>
        <w:lang w:val="es-ES" w:eastAsia="es-ES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F4762E"/>
    <w:rPr>
      <w:rFonts w:ascii="Times New Roman" w:eastAsia="Times New Roman" w:hAnsi="Times New Roman"/>
      <w:sz w:val="24"/>
      <w:szCs w:val="24"/>
    </w:rPr>
  </w:style>
  <w:style w:type="character" w:default="1" w:styleId="DefaultParagraphFont">
    <w:name w:val="Default Paragraph Font"/>
    <w:uiPriority w:val="99"/>
    <w:semiHidden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styleId="SubtleEmphasis">
    <w:name w:val="Subtle Emphasis"/>
    <w:basedOn w:val="DefaultParagraphFont"/>
    <w:uiPriority w:val="99"/>
    <w:qFormat/>
    <w:rsid w:val="00F4762E"/>
    <w:rPr>
      <w:rFonts w:cs="Times New Roman"/>
      <w:iCs/>
      <w:color w:val="000000"/>
      <w:sz w:val="24"/>
    </w:rPr>
  </w:style>
  <w:style w:type="paragraph" w:styleId="ListParagraph">
    <w:name w:val="List Paragraph"/>
    <w:basedOn w:val="Normal"/>
    <w:uiPriority w:val="99"/>
    <w:qFormat/>
    <w:rsid w:val="00F4762E"/>
    <w:pPr>
      <w:ind w:left="720"/>
      <w:contextualSpacing/>
    </w:p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Normal_Wordconv.dotm</Template>
  <TotalTime>6</TotalTime>
  <Pages>3</Pages>
  <Words>381</Words>
  <Characters>2101</Characters>
  <Application>Microsoft Office Outlook</Application>
  <DocSecurity>0</DocSecurity>
  <Lines>0</Lines>
  <Paragraphs>0</Paragraphs>
  <ScaleCrop>false</ScaleCrop>
  <Company>Microsoft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Ana</dc:creator>
  <cp:keywords/>
  <dc:description/>
  <cp:lastModifiedBy>D452487</cp:lastModifiedBy>
  <cp:revision>3</cp:revision>
  <dcterms:created xsi:type="dcterms:W3CDTF">2017-11-07T16:53:00Z</dcterms:created>
  <dcterms:modified xsi:type="dcterms:W3CDTF">2017-11-28T09:14:00Z</dcterms:modified>
</cp:coreProperties>
</file>