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68CD" w14:textId="77777777" w:rsidR="00056E64" w:rsidRPr="0099235E" w:rsidRDefault="00056E64" w:rsidP="00056E64">
      <w:pPr>
        <w:contextualSpacing/>
        <w:rPr>
          <w:rFonts w:ascii="Garamond" w:hAnsi="Garamond"/>
          <w:b/>
        </w:rPr>
      </w:pPr>
      <w:r w:rsidRPr="0099235E">
        <w:rPr>
          <w:rFonts w:ascii="Garamond" w:hAnsi="Garamond"/>
          <w:b/>
        </w:rPr>
        <w:t>Supplementary Material</w:t>
      </w:r>
    </w:p>
    <w:p w14:paraId="06142DCD" w14:textId="593F24AA" w:rsidR="00056E64" w:rsidRPr="0099235E" w:rsidRDefault="00056E64" w:rsidP="00056E64">
      <w:pPr>
        <w:contextualSpacing/>
        <w:rPr>
          <w:rFonts w:ascii="Garamond" w:hAnsi="Garamond"/>
          <w:b/>
        </w:rPr>
      </w:pPr>
    </w:p>
    <w:p w14:paraId="4F2DBEBB" w14:textId="5FF4F5F0" w:rsidR="00056E64" w:rsidRPr="0099235E" w:rsidRDefault="00056E64" w:rsidP="00056E64">
      <w:pPr>
        <w:contextualSpacing/>
        <w:rPr>
          <w:rFonts w:ascii="Garamond" w:hAnsi="Garamond"/>
          <w:b/>
        </w:rPr>
      </w:pPr>
      <w:r w:rsidRPr="0099235E">
        <w:rPr>
          <w:rFonts w:ascii="Garamond" w:hAnsi="Garamond"/>
          <w:b/>
        </w:rPr>
        <w:t xml:space="preserve">Supplemental </w:t>
      </w:r>
      <w:r w:rsidR="00F823A9" w:rsidRPr="0099235E">
        <w:rPr>
          <w:rFonts w:ascii="Garamond" w:hAnsi="Garamond"/>
          <w:b/>
        </w:rPr>
        <w:t xml:space="preserve">Measures </w:t>
      </w:r>
    </w:p>
    <w:p w14:paraId="28FADAAF" w14:textId="77777777" w:rsidR="00056E64" w:rsidRPr="0099235E" w:rsidRDefault="00056E64" w:rsidP="00056E64">
      <w:pPr>
        <w:contextualSpacing/>
        <w:rPr>
          <w:rFonts w:ascii="Garamond" w:hAnsi="Garamond"/>
          <w:b/>
        </w:rPr>
      </w:pPr>
    </w:p>
    <w:p w14:paraId="3AA441BE" w14:textId="77777777" w:rsidR="00056E64" w:rsidRPr="0099235E" w:rsidRDefault="00056E64" w:rsidP="00056E64">
      <w:pPr>
        <w:spacing w:line="480" w:lineRule="auto"/>
        <w:ind w:firstLine="720"/>
        <w:contextualSpacing/>
        <w:rPr>
          <w:rFonts w:ascii="Garamond" w:hAnsi="Garamond" w:cs="Times"/>
        </w:rPr>
      </w:pPr>
      <w:r w:rsidRPr="0099235E">
        <w:rPr>
          <w:rFonts w:ascii="Garamond" w:hAnsi="Garamond" w:cs="Times"/>
          <w:i/>
        </w:rPr>
        <w:t xml:space="preserve">Mood induction music selection. </w:t>
      </w:r>
      <w:r w:rsidRPr="0099235E">
        <w:rPr>
          <w:rFonts w:ascii="Garamond" w:hAnsi="Garamond" w:cs="Times"/>
        </w:rPr>
        <w:t xml:space="preserve">The music selection for the mood inductions was based on the protocol development by </w:t>
      </w:r>
      <w:proofErr w:type="spellStart"/>
      <w:r w:rsidRPr="0099235E">
        <w:rPr>
          <w:rFonts w:ascii="Garamond" w:hAnsi="Garamond" w:cs="Times"/>
        </w:rPr>
        <w:t>Eich</w:t>
      </w:r>
      <w:proofErr w:type="spellEnd"/>
      <w:r w:rsidRPr="0099235E">
        <w:rPr>
          <w:rFonts w:ascii="Garamond" w:hAnsi="Garamond" w:cs="Times"/>
        </w:rPr>
        <w:t xml:space="preserve"> et al. </w:t>
      </w:r>
      <w:r w:rsidRPr="0099235E">
        <w:rPr>
          <w:rFonts w:ascii="Garamond" w:hAnsi="Garamond" w:cs="Times"/>
        </w:rPr>
        <w:fldChar w:fldCharType="begin"/>
      </w:r>
      <w:r w:rsidRPr="0099235E">
        <w:rPr>
          <w:rFonts w:ascii="Garamond" w:hAnsi="Garamond" w:cs="Times"/>
        </w:rPr>
        <w:instrText xml:space="preserve"> ADDIN EN.CITE &lt;EndNote&gt;&lt;Cite&gt;&lt;Author&gt;Eich&lt;/Author&gt;&lt;Year&gt;1994&lt;/Year&gt;&lt;RecNum&gt;4507&lt;/RecNum&gt;&lt;DisplayText&gt;(Eich&lt;style face="italic"&gt; et al.&lt;/style&gt;, 1994)&lt;/DisplayText&gt;&lt;record&gt;&lt;rec-number&gt;4507&lt;/rec-number&gt;&lt;foreign-keys&gt;&lt;key app="EN" db-id="pdrrx9e96xwfvievxxxvzwpqxdxxreztep0w"&gt;4507&lt;/key&gt;&lt;/foreign-keys&gt;&lt;ref-type name="Journal Article"&gt;17&lt;/ref-type&gt;&lt;contributors&gt;&lt;authors&gt;&lt;author&gt;Eich, E.&lt;/author&gt;&lt;author&gt;Macaulay, D.&lt;/author&gt;&lt;author&gt;Ryan, L.&lt;/author&gt;&lt;/authors&gt;&lt;/contributors&gt;&lt;titles&gt;&lt;title&gt;Mood dependent memory for events of the personal past&lt;/title&gt;&lt;secondary-title&gt;Journal of Experimental Psychology: General&lt;/secondary-title&gt;&lt;/titles&gt;&lt;pages&gt;201-215&lt;/pages&gt;&lt;volume&gt;123&lt;/volume&gt;&lt;dates&gt;&lt;year&gt;1994&lt;/year&gt;&lt;/dates&gt;&lt;urls&gt;&lt;/urls&gt;&lt;remote-database-name&gt;Paper copy&lt;/remote-database-name&gt;&lt;/record&gt;&lt;/Cite&gt;&lt;/EndNote&gt;</w:instrText>
      </w:r>
      <w:r w:rsidRPr="0099235E">
        <w:rPr>
          <w:rFonts w:ascii="Garamond" w:hAnsi="Garamond" w:cs="Times"/>
        </w:rPr>
        <w:fldChar w:fldCharType="separate"/>
      </w:r>
      <w:r w:rsidRPr="0099235E">
        <w:rPr>
          <w:rFonts w:ascii="Garamond" w:hAnsi="Garamond" w:cs="Times"/>
          <w:noProof/>
        </w:rPr>
        <w:t>(</w:t>
      </w:r>
      <w:hyperlink w:anchor="_ENREF_19" w:tooltip="Eich, 1994 #4507" w:history="1">
        <w:r w:rsidRPr="0099235E">
          <w:rPr>
            <w:rFonts w:ascii="Garamond" w:hAnsi="Garamond" w:cs="Times"/>
            <w:noProof/>
          </w:rPr>
          <w:t>Eich</w:t>
        </w:r>
        <w:r w:rsidRPr="0099235E">
          <w:rPr>
            <w:rFonts w:ascii="Garamond" w:hAnsi="Garamond" w:cs="Times"/>
            <w:i/>
            <w:noProof/>
          </w:rPr>
          <w:t xml:space="preserve"> et al.</w:t>
        </w:r>
        <w:r w:rsidRPr="0099235E">
          <w:rPr>
            <w:rFonts w:ascii="Garamond" w:hAnsi="Garamond" w:cs="Times"/>
            <w:noProof/>
          </w:rPr>
          <w:t>, 1994</w:t>
        </w:r>
      </w:hyperlink>
      <w:r w:rsidRPr="0099235E">
        <w:rPr>
          <w:rFonts w:ascii="Garamond" w:hAnsi="Garamond" w:cs="Times"/>
          <w:noProof/>
        </w:rPr>
        <w:t>)</w:t>
      </w:r>
      <w:r w:rsidRPr="0099235E">
        <w:rPr>
          <w:rFonts w:ascii="Garamond" w:hAnsi="Garamond" w:cs="Times"/>
        </w:rPr>
        <w:fldChar w:fldCharType="end"/>
      </w:r>
      <w:r w:rsidRPr="0099235E">
        <w:rPr>
          <w:rFonts w:ascii="Garamond" w:hAnsi="Garamond" w:cs="Times"/>
        </w:rPr>
        <w:t xml:space="preserve">. The music for the happy mood induction included the Allegro and the Rondo from Mozart’s </w:t>
      </w:r>
      <w:r w:rsidRPr="0099235E">
        <w:rPr>
          <w:rFonts w:ascii="Garamond" w:hAnsi="Garamond" w:cs="Times"/>
          <w:i/>
          <w:iCs/>
        </w:rPr>
        <w:t xml:space="preserve">Eine </w:t>
      </w:r>
      <w:proofErr w:type="spellStart"/>
      <w:r w:rsidRPr="0099235E">
        <w:rPr>
          <w:rFonts w:ascii="Garamond" w:hAnsi="Garamond" w:cs="Times"/>
          <w:i/>
          <w:iCs/>
        </w:rPr>
        <w:t>Kleine</w:t>
      </w:r>
      <w:proofErr w:type="spellEnd"/>
      <w:r w:rsidRPr="0099235E">
        <w:rPr>
          <w:rFonts w:ascii="Garamond" w:hAnsi="Garamond" w:cs="Times"/>
          <w:i/>
          <w:iCs/>
        </w:rPr>
        <w:t xml:space="preserve"> </w:t>
      </w:r>
      <w:proofErr w:type="spellStart"/>
      <w:r w:rsidRPr="0099235E">
        <w:rPr>
          <w:rFonts w:ascii="Garamond" w:hAnsi="Garamond" w:cs="Times"/>
          <w:i/>
          <w:iCs/>
        </w:rPr>
        <w:t>Nachtmusik</w:t>
      </w:r>
      <w:proofErr w:type="spellEnd"/>
      <w:r w:rsidRPr="0099235E">
        <w:rPr>
          <w:rFonts w:ascii="Garamond" w:hAnsi="Garamond" w:cs="Times"/>
          <w:i/>
          <w:iCs/>
        </w:rPr>
        <w:t xml:space="preserve">; </w:t>
      </w:r>
      <w:r w:rsidRPr="0099235E">
        <w:rPr>
          <w:rFonts w:ascii="Garamond" w:hAnsi="Garamond" w:cs="Times"/>
        </w:rPr>
        <w:t>the Finale from Mozart’s Serenade no. 9 in D Major (“</w:t>
      </w:r>
      <w:proofErr w:type="spellStart"/>
      <w:r w:rsidRPr="0099235E">
        <w:rPr>
          <w:rFonts w:ascii="Garamond" w:hAnsi="Garamond" w:cs="Times"/>
        </w:rPr>
        <w:t>Posthorn</w:t>
      </w:r>
      <w:proofErr w:type="spellEnd"/>
      <w:r w:rsidRPr="0099235E">
        <w:rPr>
          <w:rFonts w:ascii="Garamond" w:hAnsi="Garamond" w:cs="Times"/>
        </w:rPr>
        <w:t>”), K. 320; the Allegro from Bach’s Brandenburg Concerto no. 3; “Waltz of the Flowers,” “</w:t>
      </w:r>
      <w:proofErr w:type="spellStart"/>
      <w:r w:rsidRPr="0099235E">
        <w:rPr>
          <w:rFonts w:ascii="Garamond" w:hAnsi="Garamond" w:cs="Times"/>
        </w:rPr>
        <w:t>Trepak</w:t>
      </w:r>
      <w:proofErr w:type="spellEnd"/>
      <w:r w:rsidRPr="0099235E">
        <w:rPr>
          <w:rFonts w:ascii="Garamond" w:hAnsi="Garamond" w:cs="Times"/>
        </w:rPr>
        <w:t xml:space="preserve">,” and “Dance of the Flutes” from Tchaikovsky’s </w:t>
      </w:r>
      <w:proofErr w:type="spellStart"/>
      <w:r w:rsidRPr="0099235E">
        <w:rPr>
          <w:rFonts w:ascii="Garamond" w:hAnsi="Garamond" w:cs="Times"/>
          <w:i/>
          <w:iCs/>
        </w:rPr>
        <w:t>Nutracker</w:t>
      </w:r>
      <w:proofErr w:type="spellEnd"/>
      <w:r w:rsidRPr="0099235E">
        <w:rPr>
          <w:rFonts w:ascii="Garamond" w:hAnsi="Garamond" w:cs="Times"/>
          <w:i/>
          <w:iCs/>
        </w:rPr>
        <w:t xml:space="preserve">; </w:t>
      </w:r>
      <w:r w:rsidRPr="0099235E">
        <w:rPr>
          <w:rFonts w:ascii="Garamond" w:hAnsi="Garamond" w:cs="Times"/>
        </w:rPr>
        <w:t xml:space="preserve">the Allegro from Dvorak’s Piano Quartet in E-flat Major; the Presto from Dvorak’s Slavonic Dance no. 1 in C Major, op. 46, no. 1; the Allegretto from Dvorak’s Slavonic Dance no. 6 in D Major, op. 46, no. 6; the Allegro from the “Spring” movement of Vivaldi’s </w:t>
      </w:r>
      <w:r w:rsidRPr="0099235E">
        <w:rPr>
          <w:rFonts w:ascii="Garamond" w:hAnsi="Garamond" w:cs="Times"/>
          <w:i/>
          <w:iCs/>
        </w:rPr>
        <w:t xml:space="preserve">Four Seasons; </w:t>
      </w:r>
      <w:r w:rsidRPr="0099235E">
        <w:rPr>
          <w:rFonts w:ascii="Garamond" w:hAnsi="Garamond" w:cs="Times"/>
        </w:rPr>
        <w:t xml:space="preserve">and Brahms’s Hungarian Dance no. 7 in F Major.  The music for the sad mood induction included the Adagio from the “Autumn” movement of Vivaldi’s </w:t>
      </w:r>
      <w:r w:rsidRPr="0099235E">
        <w:rPr>
          <w:rFonts w:ascii="Garamond" w:hAnsi="Garamond" w:cs="Times"/>
          <w:i/>
          <w:iCs/>
        </w:rPr>
        <w:t xml:space="preserve">Four Seasons; </w:t>
      </w:r>
      <w:r w:rsidRPr="0099235E">
        <w:rPr>
          <w:rFonts w:ascii="Garamond" w:hAnsi="Garamond" w:cs="Times"/>
        </w:rPr>
        <w:t xml:space="preserve">“Lullaby” from Stravinsky’s </w:t>
      </w:r>
      <w:r w:rsidRPr="0099235E">
        <w:rPr>
          <w:rFonts w:ascii="Garamond" w:hAnsi="Garamond" w:cs="Times"/>
          <w:i/>
          <w:iCs/>
        </w:rPr>
        <w:t xml:space="preserve">Firebird; </w:t>
      </w:r>
      <w:r w:rsidRPr="0099235E">
        <w:rPr>
          <w:rFonts w:ascii="Garamond" w:hAnsi="Garamond" w:cs="Times"/>
        </w:rPr>
        <w:t xml:space="preserve">Chopin’s Prelude in E Minor, op. 28, no. 4; Faure ́’s Piano Quintet no. 1 in D Minor, op. 89; Faure ́’s Quartet no. 1 in C Minor, op. 15; Rachmaninov’s </w:t>
      </w:r>
      <w:proofErr w:type="spellStart"/>
      <w:r w:rsidRPr="0099235E">
        <w:rPr>
          <w:rFonts w:ascii="Garamond" w:hAnsi="Garamond" w:cs="Times"/>
          <w:i/>
          <w:iCs/>
        </w:rPr>
        <w:t>Vocalise</w:t>
      </w:r>
      <w:proofErr w:type="spellEnd"/>
      <w:r w:rsidRPr="0099235E">
        <w:rPr>
          <w:rFonts w:ascii="Garamond" w:hAnsi="Garamond" w:cs="Times"/>
          <w:i/>
          <w:iCs/>
        </w:rPr>
        <w:t xml:space="preserve">, </w:t>
      </w:r>
      <w:r w:rsidRPr="0099235E">
        <w:rPr>
          <w:rFonts w:ascii="Garamond" w:hAnsi="Garamond" w:cs="Times"/>
        </w:rPr>
        <w:t xml:space="preserve">op. 34, no. 14; Mahler’s Symphony no. 5; Suite no. 1 from Grieg’s </w:t>
      </w:r>
      <w:r w:rsidRPr="0099235E">
        <w:rPr>
          <w:rFonts w:ascii="Garamond" w:hAnsi="Garamond" w:cs="Times"/>
          <w:i/>
          <w:iCs/>
        </w:rPr>
        <w:t xml:space="preserve">Peer </w:t>
      </w:r>
      <w:proofErr w:type="spellStart"/>
      <w:r w:rsidRPr="0099235E">
        <w:rPr>
          <w:rFonts w:ascii="Garamond" w:hAnsi="Garamond" w:cs="Times"/>
          <w:i/>
          <w:iCs/>
        </w:rPr>
        <w:t>Gynt</w:t>
      </w:r>
      <w:proofErr w:type="spellEnd"/>
      <w:r w:rsidRPr="0099235E">
        <w:rPr>
          <w:rFonts w:ascii="Garamond" w:hAnsi="Garamond" w:cs="Times"/>
          <w:i/>
          <w:iCs/>
        </w:rPr>
        <w:t xml:space="preserve">; </w:t>
      </w:r>
      <w:r w:rsidRPr="0099235E">
        <w:rPr>
          <w:rFonts w:ascii="Garamond" w:hAnsi="Garamond" w:cs="Times"/>
        </w:rPr>
        <w:t xml:space="preserve">and </w:t>
      </w:r>
      <w:proofErr w:type="spellStart"/>
      <w:r w:rsidRPr="0099235E">
        <w:rPr>
          <w:rFonts w:ascii="Garamond" w:hAnsi="Garamond" w:cs="Times"/>
        </w:rPr>
        <w:t>Albinoni’s</w:t>
      </w:r>
      <w:proofErr w:type="spellEnd"/>
      <w:r w:rsidRPr="0099235E">
        <w:rPr>
          <w:rFonts w:ascii="Garamond" w:hAnsi="Garamond" w:cs="Times"/>
        </w:rPr>
        <w:t xml:space="preserve"> Adagio in G Minor.  Finally, the music for the neutral induction included </w:t>
      </w:r>
      <w:proofErr w:type="spellStart"/>
      <w:r w:rsidRPr="0099235E">
        <w:rPr>
          <w:rFonts w:ascii="Garamond" w:hAnsi="Garamond" w:cs="Times"/>
        </w:rPr>
        <w:t>Fauré’s</w:t>
      </w:r>
      <w:proofErr w:type="spellEnd"/>
      <w:r w:rsidRPr="0099235E">
        <w:rPr>
          <w:rFonts w:ascii="Garamond" w:hAnsi="Garamond" w:cs="Times"/>
        </w:rPr>
        <w:t xml:space="preserve"> Ballad for Piano and Orchestra, op. 19, and the second and third movements from Brahms’s Symphony no. 3 in F Major, op. 90. </w:t>
      </w:r>
    </w:p>
    <w:p w14:paraId="35243C6D" w14:textId="33804DC6" w:rsidR="00F823A9" w:rsidRPr="0099235E" w:rsidRDefault="00F823A9" w:rsidP="003D10AA">
      <w:pPr>
        <w:spacing w:line="480" w:lineRule="auto"/>
        <w:rPr>
          <w:rFonts w:ascii="Garamond" w:hAnsi="Garamond"/>
          <w:b/>
        </w:rPr>
      </w:pPr>
      <w:r w:rsidRPr="0099235E">
        <w:rPr>
          <w:rFonts w:ascii="Garamond" w:hAnsi="Garamond"/>
          <w:b/>
        </w:rPr>
        <w:t>Supplemental Procedures</w:t>
      </w:r>
    </w:p>
    <w:p w14:paraId="4A7AEB84" w14:textId="5C3475A0" w:rsidR="00BA387F" w:rsidRPr="0099235E" w:rsidRDefault="000F587A" w:rsidP="003D10AA">
      <w:pPr>
        <w:spacing w:line="480" w:lineRule="auto"/>
        <w:ind w:firstLine="720"/>
        <w:rPr>
          <w:rFonts w:ascii="Garamond" w:hAnsi="Garamond" w:cs="Times"/>
        </w:rPr>
      </w:pPr>
      <w:r w:rsidRPr="0099235E">
        <w:rPr>
          <w:rFonts w:ascii="Garamond" w:hAnsi="Garamond"/>
        </w:rPr>
        <w:t xml:space="preserve">Mood induction overnight visits were each approximately 2 weeks apart; </w:t>
      </w:r>
      <w:r w:rsidRPr="0099235E">
        <w:rPr>
          <w:rFonts w:ascii="Garamond" w:hAnsi="Garamond" w:cs="Times"/>
        </w:rPr>
        <w:t xml:space="preserve">average time elapsed between sessions in the present subsample did not differ for the bipolar group (M = 16.2 days, </w:t>
      </w:r>
      <w:r w:rsidRPr="0099235E">
        <w:rPr>
          <w:rFonts w:ascii="Garamond" w:hAnsi="Garamond" w:cs="Times"/>
          <w:iCs/>
        </w:rPr>
        <w:t xml:space="preserve">SD </w:t>
      </w:r>
      <w:r w:rsidRPr="0099235E">
        <w:rPr>
          <w:rFonts w:ascii="Garamond" w:hAnsi="Garamond" w:cs="Times"/>
        </w:rPr>
        <w:t>=6.0 days) and the control group (</w:t>
      </w:r>
      <w:r w:rsidRPr="0099235E">
        <w:rPr>
          <w:rFonts w:ascii="Garamond" w:hAnsi="Garamond" w:cs="Times"/>
          <w:iCs/>
        </w:rPr>
        <w:t xml:space="preserve">M </w:t>
      </w:r>
      <w:r w:rsidRPr="0099235E">
        <w:rPr>
          <w:rFonts w:ascii="Garamond" w:hAnsi="Garamond" w:cs="Times"/>
        </w:rPr>
        <w:t xml:space="preserve">= 13.4 days, </w:t>
      </w:r>
      <w:r w:rsidRPr="0099235E">
        <w:rPr>
          <w:rFonts w:ascii="Garamond" w:hAnsi="Garamond" w:cs="Times"/>
          <w:iCs/>
        </w:rPr>
        <w:t xml:space="preserve">SD = </w:t>
      </w:r>
      <w:r w:rsidRPr="0099235E">
        <w:rPr>
          <w:rFonts w:ascii="Garamond" w:hAnsi="Garamond" w:cs="Times"/>
        </w:rPr>
        <w:t xml:space="preserve">4.6 days). In the full sample, some participants did not participate in both the happy and sad mood induction nights (bipolar </w:t>
      </w:r>
      <w:r w:rsidRPr="0099235E">
        <w:rPr>
          <w:rFonts w:ascii="Garamond" w:hAnsi="Garamond" w:cs="Times"/>
          <w:iCs/>
        </w:rPr>
        <w:t xml:space="preserve">n </w:t>
      </w:r>
      <w:r w:rsidRPr="0099235E">
        <w:rPr>
          <w:rFonts w:ascii="Garamond" w:hAnsi="Garamond" w:cs="Times"/>
        </w:rPr>
        <w:t xml:space="preserve">= 6; control </w:t>
      </w:r>
      <w:r w:rsidRPr="0099235E">
        <w:rPr>
          <w:rFonts w:ascii="Garamond" w:hAnsi="Garamond" w:cs="Times"/>
          <w:iCs/>
        </w:rPr>
        <w:t xml:space="preserve">n </w:t>
      </w:r>
      <w:r w:rsidRPr="0099235E">
        <w:rPr>
          <w:rFonts w:ascii="Garamond" w:hAnsi="Garamond" w:cs="Times"/>
        </w:rPr>
        <w:t xml:space="preserve">= 2). Attrition was due to: inability to </w:t>
      </w:r>
      <w:proofErr w:type="spellStart"/>
      <w:r w:rsidRPr="0099235E">
        <w:rPr>
          <w:rFonts w:ascii="Garamond" w:hAnsi="Garamond" w:cs="Times"/>
        </w:rPr>
        <w:t>recontact</w:t>
      </w:r>
      <w:proofErr w:type="spellEnd"/>
      <w:r w:rsidRPr="0099235E">
        <w:rPr>
          <w:rFonts w:ascii="Garamond" w:hAnsi="Garamond" w:cs="Times"/>
        </w:rPr>
        <w:t xml:space="preserve"> (bipolar </w:t>
      </w:r>
      <w:r w:rsidRPr="0099235E">
        <w:rPr>
          <w:rFonts w:ascii="Garamond" w:hAnsi="Garamond" w:cs="Times"/>
          <w:iCs/>
        </w:rPr>
        <w:t xml:space="preserve">n </w:t>
      </w:r>
      <w:r w:rsidRPr="0099235E">
        <w:rPr>
          <w:rFonts w:ascii="Garamond" w:hAnsi="Garamond" w:cs="Times"/>
        </w:rPr>
        <w:t xml:space="preserve">= 4, control </w:t>
      </w:r>
      <w:r w:rsidRPr="0099235E">
        <w:rPr>
          <w:rFonts w:ascii="Garamond" w:hAnsi="Garamond" w:cs="Times"/>
          <w:iCs/>
        </w:rPr>
        <w:t xml:space="preserve">n </w:t>
      </w:r>
      <w:r w:rsidRPr="0099235E">
        <w:rPr>
          <w:rFonts w:ascii="Garamond" w:hAnsi="Garamond" w:cs="Times"/>
        </w:rPr>
        <w:t xml:space="preserve">= 2), moved out of state (bipolar </w:t>
      </w:r>
      <w:r w:rsidRPr="0099235E">
        <w:rPr>
          <w:rFonts w:ascii="Garamond" w:hAnsi="Garamond" w:cs="Times"/>
          <w:iCs/>
        </w:rPr>
        <w:t xml:space="preserve">n </w:t>
      </w:r>
      <w:r w:rsidRPr="0099235E">
        <w:rPr>
          <w:rFonts w:ascii="Garamond" w:hAnsi="Garamond" w:cs="Times"/>
        </w:rPr>
        <w:t xml:space="preserve">=1), and declined to continue participation (bipolar </w:t>
      </w:r>
      <w:r w:rsidRPr="0099235E">
        <w:rPr>
          <w:rFonts w:ascii="Garamond" w:hAnsi="Garamond" w:cs="Times"/>
          <w:iCs/>
        </w:rPr>
        <w:t xml:space="preserve">n </w:t>
      </w:r>
      <w:r w:rsidRPr="0099235E">
        <w:rPr>
          <w:rFonts w:ascii="Garamond" w:hAnsi="Garamond" w:cs="Times"/>
        </w:rPr>
        <w:t>= 1).</w:t>
      </w:r>
    </w:p>
    <w:p w14:paraId="329166E6" w14:textId="0E9DA765" w:rsidR="00AD4828" w:rsidRPr="0099235E" w:rsidRDefault="00AD4828" w:rsidP="00AD4828">
      <w:pPr>
        <w:spacing w:line="480" w:lineRule="auto"/>
        <w:rPr>
          <w:rFonts w:ascii="Garamond" w:hAnsi="Garamond" w:cs="Times"/>
          <w:b/>
        </w:rPr>
      </w:pPr>
      <w:r w:rsidRPr="0099235E">
        <w:rPr>
          <w:rFonts w:ascii="Garamond" w:hAnsi="Garamond" w:cs="Times"/>
          <w:b/>
        </w:rPr>
        <w:lastRenderedPageBreak/>
        <w:t>Supplemental Results and Discussion</w:t>
      </w:r>
    </w:p>
    <w:p w14:paraId="0BD0D7F6" w14:textId="77777777" w:rsidR="00AD4828" w:rsidRPr="0099235E" w:rsidRDefault="00AD4828" w:rsidP="00AD4828">
      <w:pPr>
        <w:widowControl w:val="0"/>
        <w:autoSpaceDE w:val="0"/>
        <w:autoSpaceDN w:val="0"/>
        <w:adjustRightInd w:val="0"/>
        <w:spacing w:line="480" w:lineRule="auto"/>
        <w:contextualSpacing/>
        <w:rPr>
          <w:rFonts w:ascii="Garamond" w:hAnsi="Garamond" w:cs="Times New Roman"/>
          <w:b/>
        </w:rPr>
      </w:pPr>
      <w:r w:rsidRPr="0099235E">
        <w:rPr>
          <w:rFonts w:ascii="Garamond" w:hAnsi="Garamond" w:cs="Times New Roman"/>
          <w:b/>
        </w:rPr>
        <w:t xml:space="preserve">Illness Course </w:t>
      </w:r>
    </w:p>
    <w:p w14:paraId="0F254A44" w14:textId="6535902B" w:rsidR="00AD4828" w:rsidRPr="00AD4828" w:rsidRDefault="00AD4828" w:rsidP="00AD4828">
      <w:pPr>
        <w:widowControl w:val="0"/>
        <w:autoSpaceDE w:val="0"/>
        <w:autoSpaceDN w:val="0"/>
        <w:adjustRightInd w:val="0"/>
        <w:spacing w:line="480" w:lineRule="auto"/>
        <w:ind w:firstLine="720"/>
        <w:rPr>
          <w:rFonts w:ascii="Garamond" w:hAnsi="Garamond"/>
        </w:rPr>
      </w:pPr>
      <w:r w:rsidRPr="0099235E">
        <w:rPr>
          <w:rFonts w:ascii="Garamond" w:eastAsia="Times New Roman" w:hAnsi="Garamond" w:cs="Times New Roman"/>
        </w:rPr>
        <w:t>E</w:t>
      </w:r>
      <w:r w:rsidRPr="0099235E">
        <w:rPr>
          <w:rFonts w:ascii="Garamond" w:hAnsi="Garamond"/>
        </w:rPr>
        <w:t xml:space="preserve">xploratory spearman rho correlations were also conducted to examine effects of illness course characteristics on SWA. </w:t>
      </w:r>
      <w:r w:rsidRPr="0099235E">
        <w:rPr>
          <w:rFonts w:ascii="Garamond" w:eastAsia="Times New Roman" w:hAnsi="Garamond" w:cs="Times New Roman"/>
        </w:rPr>
        <w:t xml:space="preserve">The significance level was set at </w:t>
      </w:r>
      <w:r w:rsidRPr="0099235E">
        <w:rPr>
          <w:rFonts w:ascii="Garamond" w:eastAsia="Times New Roman" w:hAnsi="Garamond" w:cs="Times New Roman"/>
          <w:i/>
          <w:iCs/>
        </w:rPr>
        <w:t>p</w:t>
      </w:r>
      <w:r w:rsidRPr="0099235E">
        <w:rPr>
          <w:rFonts w:ascii="Garamond" w:eastAsia="Times New Roman" w:hAnsi="Garamond" w:cs="Times New Roman"/>
        </w:rPr>
        <w:t>&lt;0.05.</w:t>
      </w:r>
      <w:r w:rsidRPr="0099235E">
        <w:rPr>
          <w:rFonts w:ascii="Garamond" w:hAnsi="Garamond"/>
        </w:rPr>
        <w:t xml:space="preserve"> </w:t>
      </w:r>
      <w:r w:rsidRPr="0099235E">
        <w:rPr>
          <w:rFonts w:ascii="Garamond" w:hAnsi="Garamond" w:cs="Times New Roman"/>
        </w:rPr>
        <w:t xml:space="preserve">In BD, baseline and sad mood induction night SWA were not significantly correlated with illness course characteristics </w:t>
      </w:r>
      <w:r w:rsidRPr="0099235E">
        <w:rPr>
          <w:rFonts w:ascii="Garamond" w:hAnsi="Garamond" w:cs="Times"/>
        </w:rPr>
        <w:t>(</w:t>
      </w:r>
      <w:proofErr w:type="spellStart"/>
      <w:r w:rsidRPr="0099235E">
        <w:rPr>
          <w:rFonts w:ascii="Garamond" w:hAnsi="Garamond" w:cs="Times"/>
          <w:i/>
        </w:rPr>
        <w:t>p</w:t>
      </w:r>
      <w:r w:rsidRPr="0099235E">
        <w:rPr>
          <w:rFonts w:ascii="Garamond" w:hAnsi="Garamond" w:cs="Times"/>
        </w:rPr>
        <w:t>s</w:t>
      </w:r>
      <w:proofErr w:type="spellEnd"/>
      <w:r w:rsidRPr="0099235E">
        <w:rPr>
          <w:rFonts w:ascii="Garamond" w:hAnsi="Garamond" w:cs="Times"/>
        </w:rPr>
        <w:t>&gt;0.05)</w:t>
      </w:r>
      <w:r w:rsidRPr="0099235E">
        <w:rPr>
          <w:rFonts w:ascii="Garamond" w:hAnsi="Garamond" w:cs="Times New Roman"/>
        </w:rPr>
        <w:t>. However, a longer duration of bipolar illness (</w:t>
      </w:r>
      <w:r w:rsidRPr="0099235E">
        <w:rPr>
          <w:rFonts w:ascii="Garamond" w:hAnsi="Garamond" w:cs="Times New Roman"/>
          <w:i/>
        </w:rPr>
        <w:t>r</w:t>
      </w:r>
      <w:r w:rsidRPr="0099235E">
        <w:rPr>
          <w:rFonts w:ascii="Garamond" w:hAnsi="Garamond" w:cs="Times New Roman"/>
        </w:rPr>
        <w:t xml:space="preserve"> = -0.65, </w:t>
      </w:r>
      <w:r w:rsidRPr="0099235E">
        <w:rPr>
          <w:rFonts w:ascii="Garamond" w:hAnsi="Garamond" w:cs="Times New Roman"/>
          <w:i/>
        </w:rPr>
        <w:t>p</w:t>
      </w:r>
      <w:r w:rsidRPr="0099235E">
        <w:rPr>
          <w:rFonts w:ascii="Garamond" w:hAnsi="Garamond" w:cs="Times New Roman"/>
        </w:rPr>
        <w:t xml:space="preserve"> = 0.006), greater number of lifetime depressive episodes (</w:t>
      </w:r>
      <w:r w:rsidRPr="0099235E">
        <w:rPr>
          <w:rFonts w:ascii="Garamond" w:hAnsi="Garamond" w:cs="Times New Roman"/>
          <w:i/>
        </w:rPr>
        <w:t>r</w:t>
      </w:r>
      <w:r w:rsidRPr="0099235E">
        <w:rPr>
          <w:rFonts w:ascii="Garamond" w:hAnsi="Garamond" w:cs="Times New Roman"/>
        </w:rPr>
        <w:t xml:space="preserve">=-0.64, </w:t>
      </w:r>
      <w:r w:rsidRPr="0099235E">
        <w:rPr>
          <w:rFonts w:ascii="Garamond" w:hAnsi="Garamond" w:cs="Times New Roman"/>
          <w:i/>
        </w:rPr>
        <w:t>p</w:t>
      </w:r>
      <w:r w:rsidRPr="0099235E">
        <w:rPr>
          <w:rFonts w:ascii="Garamond" w:hAnsi="Garamond" w:cs="Times New Roman"/>
        </w:rPr>
        <w:t>=0.008), and greater number of lifetime (hypo)manic episodes (</w:t>
      </w:r>
      <w:r w:rsidRPr="0099235E">
        <w:rPr>
          <w:rFonts w:ascii="Garamond" w:hAnsi="Garamond" w:cs="Times New Roman"/>
          <w:i/>
        </w:rPr>
        <w:t>r</w:t>
      </w:r>
      <w:r w:rsidRPr="0099235E">
        <w:rPr>
          <w:rFonts w:ascii="Garamond" w:hAnsi="Garamond" w:cs="Times New Roman"/>
        </w:rPr>
        <w:t xml:space="preserve">=-0.52, </w:t>
      </w:r>
      <w:r w:rsidRPr="0099235E">
        <w:rPr>
          <w:rFonts w:ascii="Garamond" w:hAnsi="Garamond" w:cs="Times New Roman"/>
          <w:i/>
        </w:rPr>
        <w:t>p</w:t>
      </w:r>
      <w:r w:rsidRPr="0099235E">
        <w:rPr>
          <w:rFonts w:ascii="Garamond" w:hAnsi="Garamond" w:cs="Times New Roman"/>
        </w:rPr>
        <w:t xml:space="preserve">=0.040) correlated with lower happy night SWA. </w:t>
      </w:r>
      <w:r w:rsidRPr="0099235E">
        <w:rPr>
          <w:rFonts w:ascii="Garamond" w:hAnsi="Garamond"/>
        </w:rPr>
        <w:t>Interestingly, longer duration of illness and greater number of depressive episodes were associated with lower SWA on the happy mood induction night for the bipolar group. This finding potentially supports the notion that an increase in SWA related to positive mood is an adaptive response, but also indicates that progressing bipolar illness may dampen such a response.</w:t>
      </w:r>
      <w:bookmarkStart w:id="0" w:name="_GoBack"/>
      <w:bookmarkEnd w:id="0"/>
    </w:p>
    <w:p w14:paraId="44C991F5" w14:textId="77777777" w:rsidR="00AD4828" w:rsidRPr="00AD4828" w:rsidRDefault="00AD4828" w:rsidP="00AD4828">
      <w:pPr>
        <w:spacing w:line="480" w:lineRule="auto"/>
        <w:rPr>
          <w:b/>
        </w:rPr>
      </w:pPr>
    </w:p>
    <w:sectPr w:rsidR="00AD4828" w:rsidRPr="00AD4828" w:rsidSect="008F0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64"/>
    <w:rsid w:val="00056E64"/>
    <w:rsid w:val="00097D47"/>
    <w:rsid w:val="000E2B13"/>
    <w:rsid w:val="000F587A"/>
    <w:rsid w:val="003D10AA"/>
    <w:rsid w:val="008F00C7"/>
    <w:rsid w:val="0099235E"/>
    <w:rsid w:val="00AD4828"/>
    <w:rsid w:val="00BA387F"/>
    <w:rsid w:val="00E019F1"/>
    <w:rsid w:val="00E753D1"/>
    <w:rsid w:val="00F8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00CBC"/>
  <w14:defaultImageDpi w14:val="300"/>
  <w15:docId w15:val="{5A787E50-6187-4BDB-A4BB-CB3B53D9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6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Adriane Soehner</dc:creator>
  <cp:lastModifiedBy>Soehner, Adriane</cp:lastModifiedBy>
  <cp:revision>2</cp:revision>
  <dcterms:created xsi:type="dcterms:W3CDTF">2017-03-01T03:10:00Z</dcterms:created>
  <dcterms:modified xsi:type="dcterms:W3CDTF">2017-03-01T03:10:00Z</dcterms:modified>
</cp:coreProperties>
</file>