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E8" w:rsidRDefault="00E778E8" w:rsidP="009D730C">
      <w:pPr>
        <w:jc w:val="center"/>
        <w:rPr>
          <w:b/>
        </w:rPr>
      </w:pPr>
      <w:r w:rsidRPr="005E7B70">
        <w:rPr>
          <w:b/>
        </w:rPr>
        <w:t>Supplementary material</w:t>
      </w:r>
    </w:p>
    <w:p w:rsidR="00E778E8" w:rsidRPr="009D730C" w:rsidRDefault="00E778E8" w:rsidP="009D730C">
      <w:pPr>
        <w:jc w:val="center"/>
      </w:pPr>
      <w:r>
        <w:t>Functional Neuroimaging of Sex Differences in Autobiographical Memory Recall in Depression</w:t>
      </w:r>
    </w:p>
    <w:p w:rsidR="00E778E8" w:rsidRDefault="00E778E8" w:rsidP="009D730C">
      <w:pPr>
        <w:jc w:val="center"/>
      </w:pPr>
      <w:r>
        <w:t xml:space="preserve">Kymberly D. Young, Jerzy </w:t>
      </w:r>
      <w:proofErr w:type="gramStart"/>
      <w:r>
        <w:t>Bodurka</w:t>
      </w:r>
      <w:r>
        <w:rPr>
          <w:vertAlign w:val="superscript"/>
        </w:rPr>
        <w:t xml:space="preserve"> </w:t>
      </w:r>
      <w:r>
        <w:t>,</w:t>
      </w:r>
      <w:proofErr w:type="gramEnd"/>
      <w:r>
        <w:t xml:space="preserve"> Wayne C. Drevets</w:t>
      </w:r>
      <w:r>
        <w:rPr>
          <w:vertAlign w:val="superscript"/>
        </w:rPr>
        <w:t xml:space="preserve"> </w:t>
      </w:r>
    </w:p>
    <w:p w:rsidR="00E778E8" w:rsidRPr="005E7B70" w:rsidRDefault="00E778E8" w:rsidP="009D730C">
      <w:pPr>
        <w:jc w:val="center"/>
        <w:rPr>
          <w:b/>
        </w:rPr>
      </w:pPr>
    </w:p>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6B3B2B">
      <w:pPr>
        <w:rPr>
          <w:b/>
        </w:rPr>
      </w:pPr>
      <w:r>
        <w:rPr>
          <w:b/>
        </w:rPr>
        <w:t xml:space="preserve">Supplementary Results: Group x </w:t>
      </w:r>
      <w:proofErr w:type="gramStart"/>
      <w:r>
        <w:rPr>
          <w:b/>
        </w:rPr>
        <w:t>Sex  X</w:t>
      </w:r>
      <w:proofErr w:type="gramEnd"/>
      <w:r>
        <w:rPr>
          <w:b/>
        </w:rPr>
        <w:t xml:space="preserve"> Valence x Specificity ANOVA for Percent of </w:t>
      </w:r>
    </w:p>
    <w:p w:rsidR="00E778E8" w:rsidRDefault="00E778E8" w:rsidP="006B3B2B">
      <w:pPr>
        <w:ind w:left="2160"/>
        <w:rPr>
          <w:b/>
        </w:rPr>
      </w:pPr>
      <w:r>
        <w:rPr>
          <w:b/>
        </w:rPr>
        <w:t xml:space="preserve">          Memories Recalled. </w:t>
      </w:r>
    </w:p>
    <w:p w:rsidR="00E778E8" w:rsidRDefault="00E778E8" w:rsidP="006B3B2B">
      <w:pPr>
        <w:rPr>
          <w:b/>
        </w:rPr>
      </w:pPr>
      <w:r>
        <w:rPr>
          <w:b/>
        </w:rPr>
        <w:t xml:space="preserve">Figure SF1: Regions Showing a Significant </w:t>
      </w:r>
      <w:r>
        <w:rPr>
          <w:rFonts w:ascii="Times New Roman" w:hAnsi="Times New Roman" w:cs="Times New Roman"/>
          <w:b/>
        </w:rPr>
        <w:t>Group x Sex x Valence Interaction</w:t>
      </w:r>
    </w:p>
    <w:p w:rsidR="00E778E8" w:rsidRPr="006B3B2B" w:rsidRDefault="00E778E8" w:rsidP="006B3B2B">
      <w:pPr>
        <w:rPr>
          <w:rFonts w:ascii="Times New Roman" w:hAnsi="Times New Roman" w:cs="Times New Roman"/>
          <w:b/>
        </w:rPr>
      </w:pPr>
      <w:r w:rsidRPr="006B3B2B">
        <w:rPr>
          <w:b/>
        </w:rPr>
        <w:t xml:space="preserve">Supplementary Table ST1: </w:t>
      </w:r>
      <w:r w:rsidRPr="006B3B2B">
        <w:rPr>
          <w:rFonts w:ascii="Times New Roman" w:hAnsi="Times New Roman" w:cs="Times New Roman"/>
          <w:b/>
        </w:rPr>
        <w:t>Properties of Specific and Categorical Memories by Sex</w:t>
      </w:r>
    </w:p>
    <w:p w:rsidR="00E778E8" w:rsidRDefault="00E778E8" w:rsidP="00AE7155">
      <w:pPr>
        <w:rPr>
          <w:rFonts w:ascii="Times New Roman" w:hAnsi="Times New Roman" w:cs="Times New Roman"/>
          <w:b/>
        </w:rPr>
      </w:pPr>
      <w:r>
        <w:rPr>
          <w:b/>
        </w:rPr>
        <w:t>Supplementary Table ST2</w:t>
      </w:r>
      <w:r w:rsidRPr="006B3B2B">
        <w:rPr>
          <w:b/>
        </w:rPr>
        <w:t xml:space="preserve">: </w:t>
      </w:r>
      <w:r>
        <w:rPr>
          <w:rFonts w:ascii="Times New Roman" w:hAnsi="Times New Roman" w:cs="Times New Roman"/>
          <w:b/>
        </w:rPr>
        <w:t xml:space="preserve">Group x Sex x Valence Linear Mixed Effects Analysis of fMRI </w:t>
      </w:r>
    </w:p>
    <w:p w:rsidR="00E778E8" w:rsidRPr="00E778E8" w:rsidRDefault="00E778E8" w:rsidP="00E778E8">
      <w:pPr>
        <w:ind w:left="2160" w:firstLine="720"/>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data</w:t>
      </w:r>
      <w:proofErr w:type="gramEnd"/>
    </w:p>
    <w:p w:rsidR="00E778E8" w:rsidRPr="007E2174" w:rsidRDefault="00E778E8" w:rsidP="007E2174">
      <w:pPr>
        <w:spacing w:line="480" w:lineRule="auto"/>
        <w:jc w:val="center"/>
      </w:pPr>
      <w:r w:rsidRPr="007E2174">
        <w:lastRenderedPageBreak/>
        <w:t xml:space="preserve">Supplementary Results: Group x </w:t>
      </w:r>
      <w:proofErr w:type="gramStart"/>
      <w:r w:rsidRPr="007E2174">
        <w:t>Sex  X</w:t>
      </w:r>
      <w:proofErr w:type="gramEnd"/>
      <w:r w:rsidRPr="007E2174">
        <w:t xml:space="preserve"> Valence x Specificity ANOVA for Percent of Memories Recalled.</w:t>
      </w:r>
    </w:p>
    <w:p w:rsidR="00E778E8" w:rsidRDefault="00E778E8" w:rsidP="006B3B2B">
      <w:pPr>
        <w:spacing w:line="480" w:lineRule="auto"/>
        <w:ind w:firstLine="720"/>
      </w:pPr>
      <w:r>
        <w:t xml:space="preserve">We expanded our ANOVA analysis on the behavioral data by including Group (MDD, HC) in addition to Valence and Specificity. There was still no main effect of or interaction with Sex (Valence × Sex </w:t>
      </w:r>
      <w:proofErr w:type="gramStart"/>
      <w:r>
        <w:t>F(</w:t>
      </w:r>
      <w:proofErr w:type="gramEnd"/>
      <w:r>
        <w:t>2,102)=0.49, p=0.62; Valence × Diagnosis × Sex (f(2,102)=0.66, p=0.52; Specificity × Sex F(1,103)=1.49, p=0.23; Specificity x Diagnosis × Sex F(1,103)=0.42, p=0.52; Valence × Specificity × Sex F(2,102)=0.49, p=0.62; Valence × Specificity × Sex × Diagnosis F(2,102)=0.03, p=0.97). All significant effects were for Group (</w:t>
      </w:r>
      <w:proofErr w:type="spellStart"/>
      <w:r>
        <w:t>Fs</w:t>
      </w:r>
      <w:proofErr w:type="spellEnd"/>
      <w:r>
        <w:t xml:space="preserve">&gt;12.6, </w:t>
      </w:r>
      <w:proofErr w:type="spellStart"/>
      <w:r>
        <w:t>ps</w:t>
      </w:r>
      <w:proofErr w:type="spellEnd"/>
      <w:r>
        <w:t>&lt;0.001), including a Group x Valence interaction (</w:t>
      </w:r>
      <w:proofErr w:type="gramStart"/>
      <w:r>
        <w:t>F(</w:t>
      </w:r>
      <w:proofErr w:type="gramEnd"/>
      <w:r>
        <w:t xml:space="preserve">2,206)=12.6, p&lt;0.001), and a Group x Valence x Specificity interaction (F(2,206)=14.2, p&lt;0.001). This analysis replicates the well-established finding in the literature that participants with MDD recall fewer specific autobiographical </w:t>
      </w:r>
      <w:proofErr w:type="gramStart"/>
      <w:r>
        <w:t>memories</w:t>
      </w:r>
      <w:r>
        <w:rPr>
          <w:noProof/>
        </w:rPr>
        <w:t>(</w:t>
      </w:r>
      <w:proofErr w:type="gramEnd"/>
      <w:r>
        <w:rPr>
          <w:noProof/>
        </w:rPr>
        <w:t>Williams</w:t>
      </w:r>
      <w:r w:rsidRPr="008A49E9">
        <w:rPr>
          <w:i/>
          <w:noProof/>
        </w:rPr>
        <w:t xml:space="preserve"> et al.</w:t>
      </w:r>
      <w:r>
        <w:rPr>
          <w:noProof/>
        </w:rPr>
        <w:t>, 2007)</w:t>
      </w:r>
      <w:r>
        <w:t>, particularly for memories rated positive in valence</w:t>
      </w:r>
      <w:r>
        <w:rPr>
          <w:noProof/>
        </w:rPr>
        <w:t>(Young</w:t>
      </w:r>
      <w:r w:rsidRPr="008A49E9">
        <w:rPr>
          <w:i/>
          <w:noProof/>
        </w:rPr>
        <w:t xml:space="preserve"> et al.</w:t>
      </w:r>
      <w:r>
        <w:rPr>
          <w:noProof/>
        </w:rPr>
        <w:t>, 2013)</w:t>
      </w:r>
      <w:r>
        <w:t xml:space="preserve">.  The lack of a Sex x Diagnosis interaction also supports previous studies that report healthy males and females do not differ in the properties of memories </w:t>
      </w:r>
      <w:proofErr w:type="gramStart"/>
      <w:r>
        <w:t>recalled</w:t>
      </w:r>
      <w:r>
        <w:rPr>
          <w:noProof/>
        </w:rPr>
        <w:t>(</w:t>
      </w:r>
      <w:proofErr w:type="gramEnd"/>
      <w:r>
        <w:rPr>
          <w:noProof/>
        </w:rPr>
        <w:t>Piefke</w:t>
      </w:r>
      <w:r w:rsidRPr="008A49E9">
        <w:rPr>
          <w:i/>
          <w:noProof/>
        </w:rPr>
        <w:t xml:space="preserve"> et al.</w:t>
      </w:r>
      <w:r>
        <w:rPr>
          <w:noProof/>
        </w:rPr>
        <w:t>, 2005, St Jacques</w:t>
      </w:r>
      <w:r w:rsidRPr="008A49E9">
        <w:rPr>
          <w:i/>
          <w:noProof/>
        </w:rPr>
        <w:t xml:space="preserve"> et al.</w:t>
      </w:r>
      <w:r>
        <w:rPr>
          <w:noProof/>
        </w:rPr>
        <w:t>, 2011)</w:t>
      </w:r>
      <w:r>
        <w:t xml:space="preserve">. </w:t>
      </w:r>
    </w:p>
    <w:p w:rsidR="00E778E8" w:rsidRDefault="00E778E8" w:rsidP="006B3B2B">
      <w:pPr>
        <w:spacing w:line="480" w:lineRule="auto"/>
        <w:ind w:firstLine="720"/>
      </w:pPr>
    </w:p>
    <w:p w:rsidR="00E778E8" w:rsidRDefault="00E778E8" w:rsidP="006B3B2B">
      <w:pPr>
        <w:spacing w:line="480" w:lineRule="auto"/>
        <w:ind w:firstLine="720"/>
      </w:pPr>
    </w:p>
    <w:p w:rsidR="00E778E8" w:rsidRDefault="00E778E8" w:rsidP="006B3B2B">
      <w:pPr>
        <w:spacing w:line="480" w:lineRule="auto"/>
        <w:ind w:firstLine="720"/>
      </w:pPr>
    </w:p>
    <w:p w:rsidR="00E778E8" w:rsidRDefault="00E778E8" w:rsidP="006B3B2B">
      <w:pPr>
        <w:spacing w:line="480" w:lineRule="auto"/>
        <w:ind w:firstLine="720"/>
      </w:pPr>
    </w:p>
    <w:p w:rsidR="00E778E8" w:rsidRDefault="00E778E8" w:rsidP="006B3B2B">
      <w:pPr>
        <w:spacing w:line="480" w:lineRule="auto"/>
        <w:ind w:firstLine="720"/>
      </w:pPr>
    </w:p>
    <w:p w:rsidR="00E778E8" w:rsidRDefault="00E778E8" w:rsidP="006B3B2B">
      <w:pPr>
        <w:spacing w:line="480" w:lineRule="auto"/>
        <w:ind w:firstLine="720"/>
      </w:pPr>
    </w:p>
    <w:p w:rsidR="00E778E8" w:rsidRDefault="00E778E8" w:rsidP="006B3B2B">
      <w:pPr>
        <w:spacing w:line="480" w:lineRule="auto"/>
        <w:ind w:firstLine="720"/>
      </w:pPr>
    </w:p>
    <w:p w:rsidR="00E778E8" w:rsidRDefault="00E778E8" w:rsidP="006B3B2B">
      <w:pPr>
        <w:spacing w:line="480" w:lineRule="auto"/>
        <w:ind w:firstLine="720"/>
      </w:pPr>
    </w:p>
    <w:p w:rsidR="00E778E8" w:rsidRDefault="00E778E8" w:rsidP="009D730C"/>
    <w:p w:rsidR="00E778E8" w:rsidRPr="00221B07" w:rsidRDefault="00E778E8" w:rsidP="009D730C">
      <w:pPr>
        <w:rPr>
          <w:rFonts w:ascii="Times New Roman" w:hAnsi="Times New Roman" w:cs="Times New Roman"/>
        </w:rPr>
      </w:pPr>
    </w:p>
    <w:p w:rsidR="00E778E8" w:rsidRPr="00221B07" w:rsidRDefault="00E778E8" w:rsidP="00221B07">
      <w:pPr>
        <w:spacing w:line="480" w:lineRule="auto"/>
        <w:jc w:val="center"/>
        <w:rPr>
          <w:rFonts w:ascii="Times New Roman" w:hAnsi="Times New Roman" w:cs="Times New Roman"/>
          <w:b/>
        </w:rPr>
      </w:pPr>
      <w:r w:rsidRPr="00221B07">
        <w:rPr>
          <w:rFonts w:ascii="Times New Roman" w:hAnsi="Times New Roman" w:cs="Times New Roman"/>
          <w:b/>
        </w:rPr>
        <w:t>Figure Captions</w:t>
      </w:r>
    </w:p>
    <w:p w:rsidR="00E778E8" w:rsidRDefault="00E778E8" w:rsidP="00221B07">
      <w:pPr>
        <w:spacing w:line="480" w:lineRule="auto"/>
        <w:rPr>
          <w:rFonts w:ascii="Times New Roman" w:hAnsi="Times New Roman" w:cs="Times New Roman"/>
        </w:rPr>
      </w:pPr>
      <w:r w:rsidRPr="00221B07">
        <w:rPr>
          <w:rFonts w:ascii="Times New Roman" w:hAnsi="Times New Roman" w:cs="Times New Roman"/>
        </w:rPr>
        <w:t xml:space="preserve">Figure SF1: </w:t>
      </w:r>
      <w:r w:rsidRPr="00221B07">
        <w:t xml:space="preserve">Regions Showing a Significant </w:t>
      </w:r>
      <w:r w:rsidRPr="00221B07">
        <w:rPr>
          <w:rFonts w:ascii="Times New Roman" w:hAnsi="Times New Roman" w:cs="Times New Roman"/>
        </w:rPr>
        <w:t>Group x Sex x Valence Interaction</w:t>
      </w:r>
    </w:p>
    <w:p w:rsidR="00E778E8" w:rsidRDefault="00E778E8" w:rsidP="00221B07">
      <w:pPr>
        <w:spacing w:line="480" w:lineRule="auto"/>
        <w:rPr>
          <w:rFonts w:ascii="Times New Roman" w:hAnsi="Times New Roman" w:cs="Times New Roman"/>
        </w:rPr>
      </w:pPr>
      <w:r>
        <w:rPr>
          <w:rFonts w:ascii="Times New Roman" w:hAnsi="Times New Roman" w:cs="Times New Roman"/>
        </w:rPr>
        <w:t xml:space="preserve">a) Sagittal, b) Coronal, and c) Axial slices showing the regions in Table ST2 where a significant Sex x Diagnosis x Valence interaction occurred </w:t>
      </w:r>
    </w:p>
    <w:p w:rsidR="00E778E8" w:rsidRPr="00221B07" w:rsidRDefault="00E778E8" w:rsidP="00221B07">
      <w:pPr>
        <w:spacing w:line="480" w:lineRule="auto"/>
        <w:rPr>
          <w:rFonts w:ascii="Times New Roman" w:hAnsi="Times New Roman" w:cs="Times New Roman"/>
        </w:rPr>
      </w:pPr>
    </w:p>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 w:rsidR="00E778E8" w:rsidRDefault="00E778E8" w:rsidP="009D730C">
      <w:pPr>
        <w:rPr>
          <w:rFonts w:ascii="Times New Roman" w:hAnsi="Times New Roman" w:cs="Times New Roman"/>
        </w:rPr>
      </w:pPr>
      <w:r>
        <w:t xml:space="preserve">Supplementary Table ST1: </w:t>
      </w:r>
      <w:r w:rsidRPr="001B68D1">
        <w:rPr>
          <w:rFonts w:ascii="Times New Roman" w:hAnsi="Times New Roman" w:cs="Times New Roman"/>
        </w:rPr>
        <w:t>Properties</w:t>
      </w:r>
      <w:r>
        <w:rPr>
          <w:rFonts w:ascii="Times New Roman" w:hAnsi="Times New Roman" w:cs="Times New Roman"/>
        </w:rPr>
        <w:t xml:space="preserve"> of Specific and Categorical Memories</w:t>
      </w:r>
      <w:r w:rsidRPr="001B68D1">
        <w:rPr>
          <w:rFonts w:ascii="Times New Roman" w:hAnsi="Times New Roman" w:cs="Times New Roman"/>
        </w:rPr>
        <w:t xml:space="preserve"> by </w:t>
      </w:r>
      <w:r>
        <w:rPr>
          <w:rFonts w:ascii="Times New Roman" w:hAnsi="Times New Roman" w:cs="Times New Roman"/>
        </w:rPr>
        <w:t>Sex</w:t>
      </w:r>
    </w:p>
    <w:p w:rsidR="00E778E8" w:rsidRDefault="00E778E8" w:rsidP="009D730C">
      <w:pPr>
        <w:rPr>
          <w:rFonts w:cs="Arial"/>
        </w:rPr>
      </w:pPr>
    </w:p>
    <w:tbl>
      <w:tblPr>
        <w:tblW w:w="7665" w:type="dxa"/>
        <w:tblInd w:w="93" w:type="dxa"/>
        <w:tblLayout w:type="fixed"/>
        <w:tblLook w:val="04A0" w:firstRow="1" w:lastRow="0" w:firstColumn="1" w:lastColumn="0" w:noHBand="0" w:noVBand="1"/>
      </w:tblPr>
      <w:tblGrid>
        <w:gridCol w:w="2113"/>
        <w:gridCol w:w="1810"/>
        <w:gridCol w:w="1320"/>
        <w:gridCol w:w="1389"/>
        <w:gridCol w:w="1033"/>
      </w:tblGrid>
      <w:tr w:rsidR="00E778E8" w:rsidRPr="00B5027C" w:rsidTr="00B5027C">
        <w:trPr>
          <w:trHeight w:val="320"/>
        </w:trPr>
        <w:tc>
          <w:tcPr>
            <w:tcW w:w="3923" w:type="dxa"/>
            <w:gridSpan w:val="2"/>
            <w:tcBorders>
              <w:top w:val="single" w:sz="8" w:space="0" w:color="auto"/>
              <w:left w:val="nil"/>
              <w:bottom w:val="single" w:sz="8" w:space="0" w:color="auto"/>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i/>
                <w:iCs/>
                <w:color w:val="000000"/>
              </w:rPr>
            </w:pPr>
            <w:r w:rsidRPr="00B5027C">
              <w:rPr>
                <w:rFonts w:ascii="Calibri" w:eastAsia="Times New Roman" w:hAnsi="Calibri" w:cs="Times New Roman"/>
                <w:i/>
                <w:iCs/>
                <w:color w:val="000000"/>
              </w:rPr>
              <w:t>Valence</w:t>
            </w:r>
          </w:p>
        </w:tc>
        <w:tc>
          <w:tcPr>
            <w:tcW w:w="1320" w:type="dxa"/>
            <w:tcBorders>
              <w:top w:val="single" w:sz="8" w:space="0" w:color="auto"/>
              <w:left w:val="nil"/>
              <w:bottom w:val="single" w:sz="8" w:space="0" w:color="auto"/>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color w:val="000000"/>
              </w:rPr>
            </w:pPr>
            <w:r w:rsidRPr="00B5027C">
              <w:rPr>
                <w:rFonts w:ascii="Calibri" w:eastAsia="Times New Roman" w:hAnsi="Calibri" w:cs="Times New Roman"/>
                <w:color w:val="000000"/>
              </w:rPr>
              <w:t>Males</w:t>
            </w:r>
          </w:p>
        </w:tc>
        <w:tc>
          <w:tcPr>
            <w:tcW w:w="1389" w:type="dxa"/>
            <w:tcBorders>
              <w:top w:val="single" w:sz="8" w:space="0" w:color="auto"/>
              <w:left w:val="nil"/>
              <w:bottom w:val="single" w:sz="8" w:space="0" w:color="auto"/>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color w:val="000000"/>
              </w:rPr>
            </w:pPr>
            <w:r w:rsidRPr="00B5027C">
              <w:rPr>
                <w:rFonts w:ascii="Calibri" w:eastAsia="Times New Roman" w:hAnsi="Calibri" w:cs="Times New Roman"/>
                <w:color w:val="000000"/>
              </w:rPr>
              <w:t>Females</w:t>
            </w:r>
          </w:p>
        </w:tc>
        <w:tc>
          <w:tcPr>
            <w:tcW w:w="1033" w:type="dxa"/>
            <w:tcBorders>
              <w:top w:val="single" w:sz="8" w:space="0" w:color="auto"/>
              <w:left w:val="nil"/>
              <w:bottom w:val="single" w:sz="8" w:space="0" w:color="auto"/>
              <w:right w:val="nil"/>
            </w:tcBorders>
            <w:shd w:val="clear" w:color="auto" w:fill="auto"/>
            <w:noWrap/>
            <w:vAlign w:val="bottom"/>
            <w:hideMark/>
          </w:tcPr>
          <w:p w:rsidR="00E778E8" w:rsidRPr="00B5027C" w:rsidRDefault="00E778E8" w:rsidP="00B5027C">
            <w:pPr>
              <w:rPr>
                <w:rFonts w:asciiTheme="majorHAnsi" w:eastAsia="Times New Roman" w:hAnsiTheme="majorHAnsi" w:cs="Arial"/>
                <w:color w:val="000000"/>
              </w:rPr>
            </w:pPr>
            <w:r w:rsidRPr="00B5027C">
              <w:rPr>
                <w:rFonts w:asciiTheme="majorHAnsi" w:eastAsia="Times New Roman" w:hAnsiTheme="majorHAnsi" w:cs="Arial"/>
                <w:color w:val="000000"/>
              </w:rPr>
              <w:t>Effect Size (</w:t>
            </w:r>
            <w:r w:rsidRPr="00B5027C">
              <w:rPr>
                <w:rFonts w:asciiTheme="majorHAnsi" w:eastAsia="Times New Roman" w:hAnsiTheme="majorHAnsi" w:cs="Arial"/>
                <w:i/>
                <w:iCs/>
                <w:color w:val="000000"/>
              </w:rPr>
              <w:t>d</w:t>
            </w:r>
            <w:r w:rsidRPr="00B5027C">
              <w:rPr>
                <w:rFonts w:asciiTheme="majorHAnsi" w:eastAsia="Times New Roman" w:hAnsiTheme="majorHAnsi" w:cs="Arial"/>
                <w:color w:val="000000"/>
              </w:rPr>
              <w:t>)</w:t>
            </w:r>
          </w:p>
        </w:tc>
      </w:tr>
      <w:tr w:rsidR="00E778E8" w:rsidRPr="00B5027C" w:rsidTr="00B5027C">
        <w:trPr>
          <w:trHeight w:val="300"/>
        </w:trPr>
        <w:tc>
          <w:tcPr>
            <w:tcW w:w="2113" w:type="dxa"/>
            <w:vMerge w:val="restart"/>
            <w:tcBorders>
              <w:top w:val="nil"/>
              <w:left w:val="nil"/>
              <w:bottom w:val="dashed" w:sz="8" w:space="0" w:color="000000"/>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color w:val="000000"/>
              </w:rPr>
            </w:pPr>
            <w:r w:rsidRPr="00B5027C">
              <w:rPr>
                <w:rFonts w:ascii="Calibri" w:eastAsia="Times New Roman" w:hAnsi="Calibri" w:cs="Times New Roman"/>
                <w:color w:val="000000"/>
              </w:rPr>
              <w:t>Specific</w:t>
            </w: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Positive</w:t>
            </w:r>
          </w:p>
        </w:tc>
        <w:tc>
          <w:tcPr>
            <w:tcW w:w="1320" w:type="dxa"/>
            <w:tcBorders>
              <w:top w:val="nil"/>
              <w:left w:val="nil"/>
              <w:bottom w:val="nil"/>
              <w:right w:val="nil"/>
            </w:tcBorders>
            <w:shd w:val="clear" w:color="auto" w:fill="auto"/>
            <w:noWrap/>
            <w:vAlign w:val="bottom"/>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47.6 (14.1)</w:t>
            </w:r>
          </w:p>
        </w:tc>
        <w:tc>
          <w:tcPr>
            <w:tcW w:w="1389" w:type="dxa"/>
            <w:tcBorders>
              <w:top w:val="nil"/>
              <w:left w:val="nil"/>
              <w:bottom w:val="nil"/>
              <w:right w:val="nil"/>
            </w:tcBorders>
            <w:shd w:val="clear" w:color="auto" w:fill="auto"/>
            <w:noWrap/>
            <w:vAlign w:val="bottom"/>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47.9 (11.4)</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0.02</w:t>
            </w:r>
          </w:p>
        </w:tc>
      </w:tr>
      <w:tr w:rsidR="00E778E8" w:rsidRPr="00B5027C" w:rsidTr="00B5027C">
        <w:trPr>
          <w:trHeight w:val="300"/>
        </w:trPr>
        <w:tc>
          <w:tcPr>
            <w:tcW w:w="2113" w:type="dxa"/>
            <w:vMerge/>
            <w:tcBorders>
              <w:top w:val="nil"/>
              <w:left w:val="nil"/>
              <w:bottom w:val="dashed"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Negative</w:t>
            </w:r>
          </w:p>
        </w:tc>
        <w:tc>
          <w:tcPr>
            <w:tcW w:w="1320" w:type="dxa"/>
            <w:tcBorders>
              <w:top w:val="nil"/>
              <w:left w:val="nil"/>
              <w:bottom w:val="nil"/>
              <w:right w:val="nil"/>
            </w:tcBorders>
            <w:shd w:val="clear" w:color="auto" w:fill="auto"/>
            <w:noWrap/>
            <w:vAlign w:val="bottom"/>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36.0 (15.6)</w:t>
            </w:r>
          </w:p>
        </w:tc>
        <w:tc>
          <w:tcPr>
            <w:tcW w:w="1389" w:type="dxa"/>
            <w:tcBorders>
              <w:top w:val="nil"/>
              <w:left w:val="nil"/>
              <w:bottom w:val="nil"/>
              <w:right w:val="nil"/>
            </w:tcBorders>
            <w:shd w:val="clear" w:color="auto" w:fill="auto"/>
            <w:noWrap/>
            <w:vAlign w:val="bottom"/>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37.4 (14.5)</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0.09</w:t>
            </w:r>
          </w:p>
        </w:tc>
      </w:tr>
      <w:tr w:rsidR="00E778E8" w:rsidRPr="00B5027C" w:rsidTr="00B5027C">
        <w:trPr>
          <w:trHeight w:val="320"/>
        </w:trPr>
        <w:tc>
          <w:tcPr>
            <w:tcW w:w="2113" w:type="dxa"/>
            <w:vMerge/>
            <w:tcBorders>
              <w:top w:val="nil"/>
              <w:left w:val="nil"/>
              <w:bottom w:val="dashed"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 xml:space="preserve">Neutral </w:t>
            </w:r>
          </w:p>
        </w:tc>
        <w:tc>
          <w:tcPr>
            <w:tcW w:w="1320" w:type="dxa"/>
            <w:tcBorders>
              <w:top w:val="nil"/>
              <w:left w:val="nil"/>
              <w:bottom w:val="nil"/>
              <w:right w:val="nil"/>
            </w:tcBorders>
            <w:shd w:val="clear" w:color="auto" w:fill="auto"/>
            <w:noWrap/>
            <w:vAlign w:val="bottom"/>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14.2 (11.6)</w:t>
            </w:r>
          </w:p>
        </w:tc>
        <w:tc>
          <w:tcPr>
            <w:tcW w:w="1389" w:type="dxa"/>
            <w:tcBorders>
              <w:top w:val="nil"/>
              <w:left w:val="nil"/>
              <w:bottom w:val="nil"/>
              <w:right w:val="nil"/>
            </w:tcBorders>
            <w:shd w:val="clear" w:color="auto" w:fill="auto"/>
            <w:noWrap/>
            <w:vAlign w:val="bottom"/>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14.7 (10.8)</w:t>
            </w:r>
          </w:p>
        </w:tc>
        <w:tc>
          <w:tcPr>
            <w:tcW w:w="1033" w:type="dxa"/>
            <w:tcBorders>
              <w:top w:val="nil"/>
              <w:left w:val="nil"/>
              <w:bottom w:val="dashed" w:sz="8" w:space="0" w:color="auto"/>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0.05</w:t>
            </w:r>
          </w:p>
        </w:tc>
      </w:tr>
      <w:tr w:rsidR="00E778E8" w:rsidRPr="00B5027C" w:rsidTr="00B5027C">
        <w:trPr>
          <w:trHeight w:val="300"/>
        </w:trPr>
        <w:tc>
          <w:tcPr>
            <w:tcW w:w="2113" w:type="dxa"/>
            <w:vMerge w:val="restart"/>
            <w:tcBorders>
              <w:top w:val="nil"/>
              <w:left w:val="nil"/>
              <w:bottom w:val="single" w:sz="8" w:space="0" w:color="000000"/>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color w:val="000000"/>
              </w:rPr>
            </w:pPr>
            <w:r w:rsidRPr="00B5027C">
              <w:rPr>
                <w:rFonts w:ascii="Calibri" w:eastAsia="Times New Roman" w:hAnsi="Calibri" w:cs="Times New Roman"/>
                <w:color w:val="000000"/>
              </w:rPr>
              <w:t>Categorical</w:t>
            </w:r>
          </w:p>
        </w:tc>
        <w:tc>
          <w:tcPr>
            <w:tcW w:w="1810" w:type="dxa"/>
            <w:tcBorders>
              <w:top w:val="dashed" w:sz="8" w:space="0" w:color="auto"/>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Positive</w:t>
            </w:r>
          </w:p>
        </w:tc>
        <w:tc>
          <w:tcPr>
            <w:tcW w:w="1320" w:type="dxa"/>
            <w:tcBorders>
              <w:top w:val="dashed" w:sz="8" w:space="0" w:color="auto"/>
              <w:left w:val="nil"/>
              <w:bottom w:val="nil"/>
              <w:right w:val="nil"/>
            </w:tcBorders>
            <w:shd w:val="clear" w:color="auto" w:fill="auto"/>
            <w:noWrap/>
            <w:vAlign w:val="bottom"/>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49.8 (17.3)</w:t>
            </w:r>
          </w:p>
        </w:tc>
        <w:tc>
          <w:tcPr>
            <w:tcW w:w="1389" w:type="dxa"/>
            <w:tcBorders>
              <w:top w:val="dashed" w:sz="8" w:space="0" w:color="auto"/>
              <w:left w:val="nil"/>
              <w:bottom w:val="nil"/>
              <w:right w:val="nil"/>
            </w:tcBorders>
            <w:shd w:val="clear" w:color="auto" w:fill="auto"/>
            <w:noWrap/>
            <w:vAlign w:val="bottom"/>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50.3 (12.3)</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0.03</w:t>
            </w:r>
          </w:p>
        </w:tc>
      </w:tr>
      <w:tr w:rsidR="00E778E8" w:rsidRPr="00B5027C" w:rsidTr="00B5027C">
        <w:trPr>
          <w:trHeight w:val="300"/>
        </w:trPr>
        <w:tc>
          <w:tcPr>
            <w:tcW w:w="2113" w:type="dxa"/>
            <w:vMerge/>
            <w:tcBorders>
              <w:top w:val="nil"/>
              <w:left w:val="nil"/>
              <w:bottom w:val="single"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Negative</w:t>
            </w:r>
          </w:p>
        </w:tc>
        <w:tc>
          <w:tcPr>
            <w:tcW w:w="1320" w:type="dxa"/>
            <w:tcBorders>
              <w:top w:val="nil"/>
              <w:left w:val="nil"/>
              <w:bottom w:val="nil"/>
              <w:right w:val="nil"/>
            </w:tcBorders>
            <w:shd w:val="clear" w:color="auto" w:fill="auto"/>
            <w:noWrap/>
            <w:vAlign w:val="bottom"/>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28.2 (13.8)</w:t>
            </w:r>
          </w:p>
        </w:tc>
        <w:tc>
          <w:tcPr>
            <w:tcW w:w="1389" w:type="dxa"/>
            <w:tcBorders>
              <w:top w:val="nil"/>
              <w:left w:val="nil"/>
              <w:bottom w:val="nil"/>
              <w:right w:val="nil"/>
            </w:tcBorders>
            <w:shd w:val="clear" w:color="auto" w:fill="auto"/>
            <w:noWrap/>
            <w:vAlign w:val="bottom"/>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31.9 (15.2)</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0.25</w:t>
            </w:r>
          </w:p>
        </w:tc>
      </w:tr>
      <w:tr w:rsidR="00E778E8" w:rsidRPr="00B5027C" w:rsidTr="00B5027C">
        <w:trPr>
          <w:trHeight w:val="320"/>
        </w:trPr>
        <w:tc>
          <w:tcPr>
            <w:tcW w:w="2113" w:type="dxa"/>
            <w:vMerge/>
            <w:tcBorders>
              <w:top w:val="nil"/>
              <w:left w:val="nil"/>
              <w:bottom w:val="single"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single" w:sz="8" w:space="0" w:color="auto"/>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 xml:space="preserve">Neutral </w:t>
            </w:r>
          </w:p>
        </w:tc>
        <w:tc>
          <w:tcPr>
            <w:tcW w:w="1320" w:type="dxa"/>
            <w:tcBorders>
              <w:top w:val="nil"/>
              <w:left w:val="nil"/>
              <w:bottom w:val="single" w:sz="8" w:space="0" w:color="auto"/>
              <w:right w:val="nil"/>
            </w:tcBorders>
            <w:shd w:val="clear" w:color="auto" w:fill="auto"/>
            <w:noWrap/>
            <w:vAlign w:val="bottom"/>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21.8 (15.3)</w:t>
            </w:r>
          </w:p>
        </w:tc>
        <w:tc>
          <w:tcPr>
            <w:tcW w:w="1389" w:type="dxa"/>
            <w:tcBorders>
              <w:top w:val="nil"/>
              <w:left w:val="nil"/>
              <w:bottom w:val="single" w:sz="8" w:space="0" w:color="auto"/>
              <w:right w:val="nil"/>
            </w:tcBorders>
            <w:shd w:val="clear" w:color="auto" w:fill="auto"/>
            <w:noWrap/>
            <w:vAlign w:val="bottom"/>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17.8 (15.1)</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0.26</w:t>
            </w:r>
          </w:p>
        </w:tc>
      </w:tr>
      <w:tr w:rsidR="00E778E8" w:rsidRPr="00B5027C" w:rsidTr="00B5027C">
        <w:trPr>
          <w:trHeight w:val="320"/>
        </w:trPr>
        <w:tc>
          <w:tcPr>
            <w:tcW w:w="3923" w:type="dxa"/>
            <w:gridSpan w:val="2"/>
            <w:tcBorders>
              <w:top w:val="nil"/>
              <w:left w:val="nil"/>
              <w:bottom w:val="single" w:sz="8" w:space="0" w:color="auto"/>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i/>
                <w:iCs/>
                <w:color w:val="000000"/>
              </w:rPr>
            </w:pPr>
            <w:r w:rsidRPr="00B5027C">
              <w:rPr>
                <w:rFonts w:ascii="Calibri" w:eastAsia="Times New Roman" w:hAnsi="Calibri" w:cs="Times New Roman"/>
                <w:i/>
                <w:iCs/>
                <w:color w:val="000000"/>
              </w:rPr>
              <w:t>Arousal</w:t>
            </w:r>
          </w:p>
        </w:tc>
        <w:tc>
          <w:tcPr>
            <w:tcW w:w="1320" w:type="dxa"/>
            <w:tcBorders>
              <w:top w:val="nil"/>
              <w:left w:val="nil"/>
              <w:bottom w:val="single" w:sz="8" w:space="0" w:color="auto"/>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color w:val="000000"/>
              </w:rPr>
            </w:pPr>
            <w:r w:rsidRPr="00B5027C">
              <w:rPr>
                <w:rFonts w:ascii="Calibri" w:eastAsia="Times New Roman" w:hAnsi="Calibri" w:cs="Times New Roman"/>
                <w:color w:val="000000"/>
              </w:rPr>
              <w:t> </w:t>
            </w:r>
          </w:p>
        </w:tc>
        <w:tc>
          <w:tcPr>
            <w:tcW w:w="1389" w:type="dxa"/>
            <w:tcBorders>
              <w:top w:val="nil"/>
              <w:left w:val="nil"/>
              <w:bottom w:val="single" w:sz="8" w:space="0" w:color="auto"/>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color w:val="000000"/>
              </w:rPr>
            </w:pPr>
            <w:r w:rsidRPr="00B5027C">
              <w:rPr>
                <w:rFonts w:ascii="Calibri" w:eastAsia="Times New Roman" w:hAnsi="Calibri" w:cs="Times New Roman"/>
                <w:color w:val="000000"/>
              </w:rPr>
              <w:t> </w:t>
            </w:r>
          </w:p>
        </w:tc>
        <w:tc>
          <w:tcPr>
            <w:tcW w:w="1033" w:type="dxa"/>
            <w:tcBorders>
              <w:top w:val="single" w:sz="8" w:space="0" w:color="auto"/>
              <w:left w:val="nil"/>
              <w:bottom w:val="single" w:sz="8" w:space="0" w:color="auto"/>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p>
        </w:tc>
      </w:tr>
      <w:tr w:rsidR="00E778E8" w:rsidRPr="00B5027C" w:rsidTr="00B5027C">
        <w:trPr>
          <w:trHeight w:val="300"/>
        </w:trPr>
        <w:tc>
          <w:tcPr>
            <w:tcW w:w="2113" w:type="dxa"/>
            <w:vMerge w:val="restart"/>
            <w:tcBorders>
              <w:top w:val="nil"/>
              <w:left w:val="nil"/>
              <w:bottom w:val="dashed" w:sz="8" w:space="0" w:color="000000"/>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color w:val="000000"/>
              </w:rPr>
            </w:pPr>
            <w:r w:rsidRPr="00B5027C">
              <w:rPr>
                <w:rFonts w:ascii="Calibri" w:eastAsia="Times New Roman" w:hAnsi="Calibri" w:cs="Times New Roman"/>
                <w:color w:val="000000"/>
              </w:rPr>
              <w:t>Specific</w:t>
            </w: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 xml:space="preserve">Low </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21.5 (19.8)</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32.3 (24.1)</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0.49</w:t>
            </w:r>
          </w:p>
        </w:tc>
      </w:tr>
      <w:tr w:rsidR="00E778E8" w:rsidRPr="00B5027C" w:rsidTr="00B5027C">
        <w:trPr>
          <w:trHeight w:val="300"/>
        </w:trPr>
        <w:tc>
          <w:tcPr>
            <w:tcW w:w="2113" w:type="dxa"/>
            <w:vMerge/>
            <w:tcBorders>
              <w:top w:val="nil"/>
              <w:left w:val="nil"/>
              <w:bottom w:val="dashed"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Medium</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34.3 (18.8)</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25.3 (14.4)</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0.53</w:t>
            </w:r>
          </w:p>
        </w:tc>
      </w:tr>
      <w:tr w:rsidR="00E778E8" w:rsidRPr="00B5027C" w:rsidTr="00B5027C">
        <w:trPr>
          <w:trHeight w:val="320"/>
        </w:trPr>
        <w:tc>
          <w:tcPr>
            <w:tcW w:w="2113" w:type="dxa"/>
            <w:vMerge/>
            <w:tcBorders>
              <w:top w:val="nil"/>
              <w:left w:val="nil"/>
              <w:bottom w:val="dashed"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High</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43.3 (24.0)</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42.4 (25.8)</w:t>
            </w:r>
          </w:p>
        </w:tc>
        <w:tc>
          <w:tcPr>
            <w:tcW w:w="1033" w:type="dxa"/>
            <w:tcBorders>
              <w:top w:val="nil"/>
              <w:left w:val="nil"/>
              <w:bottom w:val="dashed" w:sz="8" w:space="0" w:color="auto"/>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0.04</w:t>
            </w:r>
          </w:p>
        </w:tc>
      </w:tr>
      <w:tr w:rsidR="00E778E8" w:rsidRPr="00B5027C" w:rsidTr="00B5027C">
        <w:trPr>
          <w:trHeight w:val="300"/>
        </w:trPr>
        <w:tc>
          <w:tcPr>
            <w:tcW w:w="2113" w:type="dxa"/>
            <w:vMerge w:val="restart"/>
            <w:tcBorders>
              <w:top w:val="nil"/>
              <w:left w:val="nil"/>
              <w:bottom w:val="single" w:sz="8" w:space="0" w:color="000000"/>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color w:val="000000"/>
              </w:rPr>
            </w:pPr>
            <w:r w:rsidRPr="00B5027C">
              <w:rPr>
                <w:rFonts w:ascii="Calibri" w:eastAsia="Times New Roman" w:hAnsi="Calibri" w:cs="Times New Roman"/>
                <w:color w:val="000000"/>
              </w:rPr>
              <w:t>Categorical</w:t>
            </w:r>
          </w:p>
        </w:tc>
        <w:tc>
          <w:tcPr>
            <w:tcW w:w="1810" w:type="dxa"/>
            <w:tcBorders>
              <w:top w:val="dashed" w:sz="8" w:space="0" w:color="auto"/>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Low</w:t>
            </w:r>
          </w:p>
        </w:tc>
        <w:tc>
          <w:tcPr>
            <w:tcW w:w="1320" w:type="dxa"/>
            <w:tcBorders>
              <w:top w:val="dashed" w:sz="8" w:space="0" w:color="auto"/>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35.1 (18.0)</w:t>
            </w:r>
          </w:p>
        </w:tc>
        <w:tc>
          <w:tcPr>
            <w:tcW w:w="1389" w:type="dxa"/>
            <w:tcBorders>
              <w:top w:val="dashed" w:sz="8" w:space="0" w:color="auto"/>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33.4 (22.0)</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0.08</w:t>
            </w:r>
          </w:p>
        </w:tc>
      </w:tr>
      <w:tr w:rsidR="00E778E8" w:rsidRPr="00B5027C" w:rsidTr="00B5027C">
        <w:trPr>
          <w:trHeight w:val="300"/>
        </w:trPr>
        <w:tc>
          <w:tcPr>
            <w:tcW w:w="2113" w:type="dxa"/>
            <w:vMerge/>
            <w:tcBorders>
              <w:top w:val="nil"/>
              <w:left w:val="nil"/>
              <w:bottom w:val="single"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Medium</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30.8 (14.3)</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27.5(14.1)</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0.23</w:t>
            </w:r>
          </w:p>
        </w:tc>
      </w:tr>
      <w:tr w:rsidR="00E778E8" w:rsidRPr="00B5027C" w:rsidTr="00B5027C">
        <w:trPr>
          <w:trHeight w:val="320"/>
        </w:trPr>
        <w:tc>
          <w:tcPr>
            <w:tcW w:w="2113" w:type="dxa"/>
            <w:vMerge/>
            <w:tcBorders>
              <w:top w:val="nil"/>
              <w:left w:val="nil"/>
              <w:bottom w:val="single"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single" w:sz="8" w:space="0" w:color="auto"/>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High</w:t>
            </w:r>
          </w:p>
        </w:tc>
        <w:tc>
          <w:tcPr>
            <w:tcW w:w="1320" w:type="dxa"/>
            <w:tcBorders>
              <w:top w:val="nil"/>
              <w:left w:val="nil"/>
              <w:bottom w:val="single" w:sz="8" w:space="0" w:color="auto"/>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34.2 (24.6)</w:t>
            </w:r>
          </w:p>
        </w:tc>
        <w:tc>
          <w:tcPr>
            <w:tcW w:w="1389" w:type="dxa"/>
            <w:tcBorders>
              <w:top w:val="nil"/>
              <w:left w:val="nil"/>
              <w:bottom w:val="single" w:sz="8" w:space="0" w:color="auto"/>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39.2 (15.7)</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0.24</w:t>
            </w:r>
          </w:p>
        </w:tc>
      </w:tr>
      <w:tr w:rsidR="00E778E8" w:rsidRPr="00B5027C" w:rsidTr="00B5027C">
        <w:trPr>
          <w:trHeight w:val="320"/>
        </w:trPr>
        <w:tc>
          <w:tcPr>
            <w:tcW w:w="3923" w:type="dxa"/>
            <w:gridSpan w:val="2"/>
            <w:tcBorders>
              <w:top w:val="nil"/>
              <w:left w:val="nil"/>
              <w:bottom w:val="single" w:sz="8" w:space="0" w:color="auto"/>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i/>
                <w:iCs/>
                <w:color w:val="000000"/>
              </w:rPr>
            </w:pPr>
            <w:r w:rsidRPr="00B5027C">
              <w:rPr>
                <w:rFonts w:ascii="Calibri" w:eastAsia="Times New Roman" w:hAnsi="Calibri" w:cs="Times New Roman"/>
                <w:i/>
                <w:iCs/>
                <w:color w:val="000000"/>
              </w:rPr>
              <w:t>Vividness</w:t>
            </w:r>
          </w:p>
        </w:tc>
        <w:tc>
          <w:tcPr>
            <w:tcW w:w="1320" w:type="dxa"/>
            <w:tcBorders>
              <w:top w:val="nil"/>
              <w:left w:val="nil"/>
              <w:bottom w:val="single" w:sz="8" w:space="0" w:color="auto"/>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 </w:t>
            </w:r>
          </w:p>
        </w:tc>
        <w:tc>
          <w:tcPr>
            <w:tcW w:w="1389" w:type="dxa"/>
            <w:tcBorders>
              <w:top w:val="nil"/>
              <w:left w:val="nil"/>
              <w:bottom w:val="single" w:sz="8" w:space="0" w:color="auto"/>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 </w:t>
            </w:r>
          </w:p>
        </w:tc>
        <w:tc>
          <w:tcPr>
            <w:tcW w:w="1033" w:type="dxa"/>
            <w:tcBorders>
              <w:top w:val="single" w:sz="8" w:space="0" w:color="auto"/>
              <w:left w:val="nil"/>
              <w:bottom w:val="single" w:sz="8" w:space="0" w:color="auto"/>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p>
        </w:tc>
      </w:tr>
      <w:tr w:rsidR="00E778E8" w:rsidRPr="00B5027C" w:rsidTr="00B5027C">
        <w:trPr>
          <w:trHeight w:val="300"/>
        </w:trPr>
        <w:tc>
          <w:tcPr>
            <w:tcW w:w="2113" w:type="dxa"/>
            <w:vMerge w:val="restart"/>
            <w:tcBorders>
              <w:top w:val="nil"/>
              <w:left w:val="nil"/>
              <w:bottom w:val="dashed" w:sz="8" w:space="0" w:color="000000"/>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color w:val="000000"/>
              </w:rPr>
            </w:pPr>
            <w:r w:rsidRPr="00B5027C">
              <w:rPr>
                <w:rFonts w:ascii="Calibri" w:eastAsia="Times New Roman" w:hAnsi="Calibri" w:cs="Times New Roman"/>
                <w:color w:val="000000"/>
              </w:rPr>
              <w:t>Specific</w:t>
            </w: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 xml:space="preserve">Low </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8.39 (8.56)</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17.1 (20.6)</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0.55</w:t>
            </w:r>
          </w:p>
        </w:tc>
      </w:tr>
      <w:tr w:rsidR="00E778E8" w:rsidRPr="00B5027C" w:rsidTr="00B5027C">
        <w:trPr>
          <w:trHeight w:val="300"/>
        </w:trPr>
        <w:tc>
          <w:tcPr>
            <w:tcW w:w="2113" w:type="dxa"/>
            <w:vMerge/>
            <w:tcBorders>
              <w:top w:val="nil"/>
              <w:left w:val="nil"/>
              <w:bottom w:val="dashed"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Medium</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22.0 (17.2)</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20.4 (14.6)</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0.11</w:t>
            </w:r>
          </w:p>
        </w:tc>
      </w:tr>
      <w:tr w:rsidR="00E778E8" w:rsidRPr="00B5027C" w:rsidTr="00B5027C">
        <w:trPr>
          <w:trHeight w:val="320"/>
        </w:trPr>
        <w:tc>
          <w:tcPr>
            <w:tcW w:w="2113" w:type="dxa"/>
            <w:vMerge/>
            <w:tcBorders>
              <w:top w:val="nil"/>
              <w:left w:val="nil"/>
              <w:bottom w:val="dashed"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High</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69.3 (24.1)</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62.1 (26.2)</w:t>
            </w:r>
          </w:p>
        </w:tc>
        <w:tc>
          <w:tcPr>
            <w:tcW w:w="1033" w:type="dxa"/>
            <w:tcBorders>
              <w:top w:val="nil"/>
              <w:left w:val="nil"/>
              <w:bottom w:val="dashed" w:sz="8" w:space="0" w:color="auto"/>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0.29</w:t>
            </w:r>
          </w:p>
        </w:tc>
      </w:tr>
      <w:tr w:rsidR="00E778E8" w:rsidRPr="00B5027C" w:rsidTr="00B5027C">
        <w:trPr>
          <w:trHeight w:val="300"/>
        </w:trPr>
        <w:tc>
          <w:tcPr>
            <w:tcW w:w="2113" w:type="dxa"/>
            <w:vMerge w:val="restart"/>
            <w:tcBorders>
              <w:top w:val="nil"/>
              <w:left w:val="nil"/>
              <w:bottom w:val="single" w:sz="8" w:space="0" w:color="000000"/>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color w:val="000000"/>
              </w:rPr>
            </w:pPr>
            <w:r w:rsidRPr="00B5027C">
              <w:rPr>
                <w:rFonts w:ascii="Calibri" w:eastAsia="Times New Roman" w:hAnsi="Calibri" w:cs="Times New Roman"/>
                <w:color w:val="000000"/>
              </w:rPr>
              <w:t>Categorical</w:t>
            </w:r>
          </w:p>
        </w:tc>
        <w:tc>
          <w:tcPr>
            <w:tcW w:w="1810" w:type="dxa"/>
            <w:tcBorders>
              <w:top w:val="dashed" w:sz="8" w:space="0" w:color="auto"/>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Low</w:t>
            </w:r>
          </w:p>
        </w:tc>
        <w:tc>
          <w:tcPr>
            <w:tcW w:w="1320" w:type="dxa"/>
            <w:tcBorders>
              <w:top w:val="dashed" w:sz="8" w:space="0" w:color="auto"/>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20.0 (23.1)</w:t>
            </w:r>
          </w:p>
        </w:tc>
        <w:tc>
          <w:tcPr>
            <w:tcW w:w="1389" w:type="dxa"/>
            <w:tcBorders>
              <w:top w:val="dashed" w:sz="8" w:space="0" w:color="auto"/>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25.1 (19.3)</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0.24</w:t>
            </w:r>
          </w:p>
        </w:tc>
      </w:tr>
      <w:tr w:rsidR="00E778E8" w:rsidRPr="00B5027C" w:rsidTr="00B5027C">
        <w:trPr>
          <w:trHeight w:val="300"/>
        </w:trPr>
        <w:tc>
          <w:tcPr>
            <w:tcW w:w="2113" w:type="dxa"/>
            <w:vMerge/>
            <w:tcBorders>
              <w:top w:val="nil"/>
              <w:left w:val="nil"/>
              <w:bottom w:val="single"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Medium</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30.8 (19.8)</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23.6 (13.2)</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0.29</w:t>
            </w:r>
          </w:p>
        </w:tc>
      </w:tr>
      <w:tr w:rsidR="00E778E8" w:rsidRPr="00B5027C" w:rsidTr="00B5027C">
        <w:trPr>
          <w:trHeight w:val="320"/>
        </w:trPr>
        <w:tc>
          <w:tcPr>
            <w:tcW w:w="2113" w:type="dxa"/>
            <w:vMerge/>
            <w:tcBorders>
              <w:top w:val="nil"/>
              <w:left w:val="nil"/>
              <w:bottom w:val="single"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single" w:sz="8" w:space="0" w:color="auto"/>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High</w:t>
            </w:r>
          </w:p>
        </w:tc>
        <w:tc>
          <w:tcPr>
            <w:tcW w:w="1320" w:type="dxa"/>
            <w:tcBorders>
              <w:top w:val="nil"/>
              <w:left w:val="nil"/>
              <w:bottom w:val="single" w:sz="8" w:space="0" w:color="auto"/>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49.3 (28.7)</w:t>
            </w:r>
          </w:p>
        </w:tc>
        <w:tc>
          <w:tcPr>
            <w:tcW w:w="1389" w:type="dxa"/>
            <w:tcBorders>
              <w:top w:val="nil"/>
              <w:left w:val="nil"/>
              <w:bottom w:val="single" w:sz="8" w:space="0" w:color="auto"/>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51.2 (25.1)</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0.07</w:t>
            </w:r>
          </w:p>
        </w:tc>
      </w:tr>
      <w:tr w:rsidR="00E778E8" w:rsidRPr="00B5027C" w:rsidTr="00B5027C">
        <w:trPr>
          <w:trHeight w:val="320"/>
        </w:trPr>
        <w:tc>
          <w:tcPr>
            <w:tcW w:w="3923" w:type="dxa"/>
            <w:gridSpan w:val="2"/>
            <w:tcBorders>
              <w:top w:val="nil"/>
              <w:left w:val="nil"/>
              <w:bottom w:val="single" w:sz="8" w:space="0" w:color="auto"/>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i/>
                <w:iCs/>
                <w:color w:val="000000"/>
              </w:rPr>
            </w:pPr>
            <w:r w:rsidRPr="00B5027C">
              <w:rPr>
                <w:rFonts w:ascii="Calibri" w:eastAsia="Times New Roman" w:hAnsi="Calibri" w:cs="Times New Roman"/>
                <w:i/>
                <w:iCs/>
                <w:color w:val="000000"/>
              </w:rPr>
              <w:t>Age</w:t>
            </w:r>
          </w:p>
        </w:tc>
        <w:tc>
          <w:tcPr>
            <w:tcW w:w="1320" w:type="dxa"/>
            <w:tcBorders>
              <w:top w:val="nil"/>
              <w:left w:val="nil"/>
              <w:bottom w:val="single" w:sz="8" w:space="0" w:color="auto"/>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 </w:t>
            </w:r>
          </w:p>
        </w:tc>
        <w:tc>
          <w:tcPr>
            <w:tcW w:w="1389" w:type="dxa"/>
            <w:tcBorders>
              <w:top w:val="nil"/>
              <w:left w:val="nil"/>
              <w:bottom w:val="single" w:sz="8" w:space="0" w:color="auto"/>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 </w:t>
            </w:r>
          </w:p>
        </w:tc>
        <w:tc>
          <w:tcPr>
            <w:tcW w:w="1033" w:type="dxa"/>
            <w:tcBorders>
              <w:top w:val="single" w:sz="8" w:space="0" w:color="auto"/>
              <w:left w:val="nil"/>
              <w:bottom w:val="single" w:sz="8" w:space="0" w:color="auto"/>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p>
        </w:tc>
      </w:tr>
      <w:tr w:rsidR="00E778E8" w:rsidRPr="00B5027C" w:rsidTr="00B5027C">
        <w:trPr>
          <w:trHeight w:val="300"/>
        </w:trPr>
        <w:tc>
          <w:tcPr>
            <w:tcW w:w="2113" w:type="dxa"/>
            <w:vMerge w:val="restart"/>
            <w:tcBorders>
              <w:top w:val="nil"/>
              <w:left w:val="nil"/>
              <w:bottom w:val="dashed" w:sz="8" w:space="0" w:color="000000"/>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color w:val="000000"/>
              </w:rPr>
            </w:pPr>
            <w:r w:rsidRPr="00B5027C">
              <w:rPr>
                <w:rFonts w:ascii="Calibri" w:eastAsia="Times New Roman" w:hAnsi="Calibri" w:cs="Times New Roman"/>
                <w:color w:val="000000"/>
              </w:rPr>
              <w:t>Specific</w:t>
            </w: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Childhood</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7.61 (6.75)</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6.10 (12.4)</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0.15</w:t>
            </w:r>
          </w:p>
        </w:tc>
      </w:tr>
      <w:tr w:rsidR="00E778E8" w:rsidRPr="00B5027C" w:rsidTr="00B5027C">
        <w:trPr>
          <w:trHeight w:val="300"/>
        </w:trPr>
        <w:tc>
          <w:tcPr>
            <w:tcW w:w="2113" w:type="dxa"/>
            <w:vMerge/>
            <w:tcBorders>
              <w:top w:val="nil"/>
              <w:left w:val="nil"/>
              <w:bottom w:val="dashed"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Adolescence</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13.8 (11.2)</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8.98 (7.78)</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0.49</w:t>
            </w:r>
          </w:p>
        </w:tc>
      </w:tr>
      <w:tr w:rsidR="00E778E8" w:rsidRPr="00B5027C" w:rsidTr="00B5027C">
        <w:trPr>
          <w:trHeight w:val="300"/>
        </w:trPr>
        <w:tc>
          <w:tcPr>
            <w:tcW w:w="2113" w:type="dxa"/>
            <w:vMerge/>
            <w:tcBorders>
              <w:top w:val="nil"/>
              <w:left w:val="nil"/>
              <w:bottom w:val="dashed"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Remote Adult</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36.1 (18.5)</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40.8 (20.7)</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0.24</w:t>
            </w:r>
          </w:p>
        </w:tc>
      </w:tr>
      <w:tr w:rsidR="00E778E8" w:rsidRPr="00B5027C" w:rsidTr="00B5027C">
        <w:trPr>
          <w:trHeight w:val="300"/>
        </w:trPr>
        <w:tc>
          <w:tcPr>
            <w:tcW w:w="2113" w:type="dxa"/>
            <w:vMerge/>
            <w:tcBorders>
              <w:top w:val="nil"/>
              <w:left w:val="nil"/>
              <w:bottom w:val="dashed"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Adult: 6mo-1yr</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12.7 (10.2)</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12.2 (9.31)</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0.05</w:t>
            </w:r>
          </w:p>
        </w:tc>
      </w:tr>
      <w:tr w:rsidR="00E778E8" w:rsidRPr="00B5027C" w:rsidTr="00B5027C">
        <w:trPr>
          <w:trHeight w:val="320"/>
        </w:trPr>
        <w:tc>
          <w:tcPr>
            <w:tcW w:w="2113" w:type="dxa"/>
            <w:vMerge/>
            <w:tcBorders>
              <w:top w:val="nil"/>
              <w:left w:val="nil"/>
              <w:bottom w:val="dashed" w:sz="8"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Recent Adult</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29.9 (19.1)</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31.6 (20.9)</w:t>
            </w:r>
          </w:p>
        </w:tc>
        <w:tc>
          <w:tcPr>
            <w:tcW w:w="1033" w:type="dxa"/>
            <w:tcBorders>
              <w:top w:val="nil"/>
              <w:left w:val="nil"/>
              <w:bottom w:val="dashed" w:sz="8" w:space="0" w:color="auto"/>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0.08</w:t>
            </w:r>
          </w:p>
        </w:tc>
      </w:tr>
      <w:tr w:rsidR="00E778E8" w:rsidRPr="00B5027C" w:rsidTr="00B5027C">
        <w:trPr>
          <w:trHeight w:val="300"/>
        </w:trPr>
        <w:tc>
          <w:tcPr>
            <w:tcW w:w="2113" w:type="dxa"/>
            <w:vMerge w:val="restart"/>
            <w:tcBorders>
              <w:top w:val="nil"/>
              <w:left w:val="nil"/>
              <w:bottom w:val="single" w:sz="4" w:space="0" w:color="000000"/>
              <w:right w:val="nil"/>
            </w:tcBorders>
            <w:shd w:val="clear" w:color="auto" w:fill="auto"/>
            <w:noWrap/>
            <w:vAlign w:val="center"/>
            <w:hideMark/>
          </w:tcPr>
          <w:p w:rsidR="00E778E8" w:rsidRPr="00B5027C" w:rsidRDefault="00E778E8" w:rsidP="00B5027C">
            <w:pPr>
              <w:jc w:val="center"/>
              <w:rPr>
                <w:rFonts w:ascii="Calibri" w:eastAsia="Times New Roman" w:hAnsi="Calibri" w:cs="Times New Roman"/>
                <w:color w:val="000000"/>
              </w:rPr>
            </w:pPr>
            <w:r w:rsidRPr="00B5027C">
              <w:rPr>
                <w:rFonts w:ascii="Calibri" w:eastAsia="Times New Roman" w:hAnsi="Calibri" w:cs="Times New Roman"/>
                <w:color w:val="000000"/>
              </w:rPr>
              <w:t>Categorical</w:t>
            </w:r>
          </w:p>
        </w:tc>
        <w:tc>
          <w:tcPr>
            <w:tcW w:w="1810" w:type="dxa"/>
            <w:tcBorders>
              <w:top w:val="dashed" w:sz="8" w:space="0" w:color="auto"/>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Childhood</w:t>
            </w:r>
          </w:p>
        </w:tc>
        <w:tc>
          <w:tcPr>
            <w:tcW w:w="1320" w:type="dxa"/>
            <w:tcBorders>
              <w:top w:val="dashed" w:sz="8" w:space="0" w:color="auto"/>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12.3 (9.28)</w:t>
            </w:r>
          </w:p>
        </w:tc>
        <w:tc>
          <w:tcPr>
            <w:tcW w:w="1389" w:type="dxa"/>
            <w:tcBorders>
              <w:top w:val="dashed" w:sz="8" w:space="0" w:color="auto"/>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7.59 (8.04)</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0.54</w:t>
            </w:r>
          </w:p>
        </w:tc>
      </w:tr>
      <w:tr w:rsidR="00E778E8" w:rsidRPr="00B5027C" w:rsidTr="00B5027C">
        <w:trPr>
          <w:trHeight w:val="300"/>
        </w:trPr>
        <w:tc>
          <w:tcPr>
            <w:tcW w:w="2113" w:type="dxa"/>
            <w:vMerge/>
            <w:tcBorders>
              <w:top w:val="nil"/>
              <w:left w:val="nil"/>
              <w:bottom w:val="single" w:sz="4"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Adolescence</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15.8 (13.5)</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11.0 (8.36)</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0.43</w:t>
            </w:r>
          </w:p>
        </w:tc>
      </w:tr>
      <w:tr w:rsidR="00E778E8" w:rsidRPr="00B5027C" w:rsidTr="00B5027C">
        <w:trPr>
          <w:trHeight w:val="300"/>
        </w:trPr>
        <w:tc>
          <w:tcPr>
            <w:tcW w:w="2113" w:type="dxa"/>
            <w:vMerge/>
            <w:tcBorders>
              <w:top w:val="nil"/>
              <w:left w:val="nil"/>
              <w:bottom w:val="single" w:sz="4"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Remote Adult</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30.9 (21.4)</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33.7 (15.9)</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0.15</w:t>
            </w:r>
          </w:p>
        </w:tc>
      </w:tr>
      <w:tr w:rsidR="00E778E8" w:rsidRPr="00B5027C" w:rsidTr="00B5027C">
        <w:trPr>
          <w:trHeight w:val="300"/>
        </w:trPr>
        <w:tc>
          <w:tcPr>
            <w:tcW w:w="2113" w:type="dxa"/>
            <w:vMerge/>
            <w:tcBorders>
              <w:top w:val="nil"/>
              <w:left w:val="nil"/>
              <w:bottom w:val="single" w:sz="4"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Adult: 6mo-1yr</w:t>
            </w:r>
          </w:p>
        </w:tc>
        <w:tc>
          <w:tcPr>
            <w:tcW w:w="1320"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7.04 (7.79)</w:t>
            </w:r>
          </w:p>
        </w:tc>
        <w:tc>
          <w:tcPr>
            <w:tcW w:w="1389" w:type="dxa"/>
            <w:tcBorders>
              <w:top w:val="nil"/>
              <w:left w:val="nil"/>
              <w:bottom w:val="nil"/>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9.25 (9.11)</w:t>
            </w:r>
          </w:p>
        </w:tc>
        <w:tc>
          <w:tcPr>
            <w:tcW w:w="1033" w:type="dxa"/>
            <w:tcBorders>
              <w:top w:val="nil"/>
              <w:left w:val="nil"/>
              <w:bottom w:val="nil"/>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0.26</w:t>
            </w:r>
          </w:p>
        </w:tc>
      </w:tr>
      <w:tr w:rsidR="00E778E8" w:rsidRPr="00B5027C" w:rsidTr="00B5027C">
        <w:trPr>
          <w:trHeight w:val="300"/>
        </w:trPr>
        <w:tc>
          <w:tcPr>
            <w:tcW w:w="2113" w:type="dxa"/>
            <w:vMerge/>
            <w:tcBorders>
              <w:top w:val="nil"/>
              <w:left w:val="nil"/>
              <w:bottom w:val="single" w:sz="4" w:space="0" w:color="000000"/>
              <w:right w:val="nil"/>
            </w:tcBorders>
            <w:vAlign w:val="center"/>
            <w:hideMark/>
          </w:tcPr>
          <w:p w:rsidR="00E778E8" w:rsidRPr="00B5027C" w:rsidRDefault="00E778E8" w:rsidP="00B5027C">
            <w:pPr>
              <w:rPr>
                <w:rFonts w:ascii="Calibri" w:eastAsia="Times New Roman" w:hAnsi="Calibri" w:cs="Times New Roman"/>
                <w:color w:val="000000"/>
              </w:rPr>
            </w:pPr>
          </w:p>
        </w:tc>
        <w:tc>
          <w:tcPr>
            <w:tcW w:w="1810" w:type="dxa"/>
            <w:tcBorders>
              <w:top w:val="nil"/>
              <w:left w:val="nil"/>
              <w:bottom w:val="single" w:sz="4" w:space="0" w:color="auto"/>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Recent Adult</w:t>
            </w:r>
          </w:p>
        </w:tc>
        <w:tc>
          <w:tcPr>
            <w:tcW w:w="1320" w:type="dxa"/>
            <w:tcBorders>
              <w:top w:val="nil"/>
              <w:left w:val="nil"/>
              <w:bottom w:val="single" w:sz="4" w:space="0" w:color="auto"/>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34.1 (17.1)</w:t>
            </w:r>
          </w:p>
        </w:tc>
        <w:tc>
          <w:tcPr>
            <w:tcW w:w="1389" w:type="dxa"/>
            <w:tcBorders>
              <w:top w:val="nil"/>
              <w:left w:val="nil"/>
              <w:bottom w:val="single" w:sz="4" w:space="0" w:color="auto"/>
              <w:right w:val="nil"/>
            </w:tcBorders>
            <w:shd w:val="clear" w:color="auto" w:fill="auto"/>
            <w:noWrap/>
            <w:vAlign w:val="center"/>
            <w:hideMark/>
          </w:tcPr>
          <w:p w:rsidR="00E778E8" w:rsidRPr="00B5027C" w:rsidRDefault="00E778E8" w:rsidP="00B5027C">
            <w:pPr>
              <w:rPr>
                <w:rFonts w:ascii="Calibri" w:eastAsia="Times New Roman" w:hAnsi="Calibri" w:cs="Times New Roman"/>
                <w:color w:val="000000"/>
              </w:rPr>
            </w:pPr>
            <w:r w:rsidRPr="00B5027C">
              <w:rPr>
                <w:rFonts w:ascii="Calibri" w:eastAsia="Times New Roman" w:hAnsi="Calibri" w:cs="Times New Roman"/>
                <w:color w:val="000000"/>
              </w:rPr>
              <w:t>38.5 (18.0)</w:t>
            </w:r>
          </w:p>
        </w:tc>
        <w:tc>
          <w:tcPr>
            <w:tcW w:w="1033" w:type="dxa"/>
            <w:tcBorders>
              <w:top w:val="nil"/>
              <w:left w:val="nil"/>
              <w:bottom w:val="single" w:sz="4" w:space="0" w:color="auto"/>
              <w:right w:val="nil"/>
            </w:tcBorders>
            <w:shd w:val="clear" w:color="auto" w:fill="auto"/>
            <w:noWrap/>
            <w:vAlign w:val="bottom"/>
            <w:hideMark/>
          </w:tcPr>
          <w:p w:rsidR="00E778E8" w:rsidRPr="00B5027C" w:rsidRDefault="00E778E8" w:rsidP="007C3723">
            <w:pPr>
              <w:jc w:val="center"/>
              <w:rPr>
                <w:rFonts w:ascii="Calibri" w:eastAsia="Times New Roman" w:hAnsi="Calibri" w:cs="Times New Roman"/>
                <w:color w:val="000000"/>
              </w:rPr>
            </w:pPr>
            <w:r w:rsidRPr="00B5027C">
              <w:rPr>
                <w:rFonts w:ascii="Calibri" w:eastAsia="Times New Roman" w:hAnsi="Calibri" w:cs="Times New Roman"/>
                <w:color w:val="000000"/>
              </w:rPr>
              <w:t>0.25</w:t>
            </w:r>
          </w:p>
        </w:tc>
      </w:tr>
    </w:tbl>
    <w:p w:rsidR="00E778E8" w:rsidRDefault="00E778E8">
      <w:pPr>
        <w:rPr>
          <w:rFonts w:ascii="Times New Roman" w:hAnsi="Times New Roman" w:cs="Times New Roman"/>
        </w:rPr>
      </w:pPr>
      <w:r w:rsidRPr="009D730C">
        <w:rPr>
          <w:rFonts w:ascii="Times New Roman" w:hAnsi="Times New Roman" w:cs="Times New Roman"/>
        </w:rPr>
        <w:t>Numbers in the table represent the average percent of memories recalled, and numbers in parentheses indicate one standard deviation of the mean.</w:t>
      </w:r>
    </w:p>
    <w:p w:rsidR="00E778E8" w:rsidRDefault="00E778E8">
      <w:pPr>
        <w:rPr>
          <w:rFonts w:ascii="Times New Roman" w:hAnsi="Times New Roman" w:cs="Times New Roman"/>
        </w:rPr>
      </w:pPr>
    </w:p>
    <w:p w:rsidR="00E778E8" w:rsidRDefault="00E778E8" w:rsidP="008A49E9">
      <w:pPr>
        <w:pStyle w:val="EndNoteBibliography"/>
        <w:jc w:val="center"/>
        <w:rPr>
          <w:b/>
        </w:rPr>
      </w:pPr>
    </w:p>
    <w:p w:rsidR="00E778E8" w:rsidRDefault="00E778E8" w:rsidP="008A49E9">
      <w:pPr>
        <w:pStyle w:val="EndNoteBibliography"/>
        <w:rPr>
          <w:b/>
        </w:rPr>
      </w:pPr>
    </w:p>
    <w:p w:rsidR="00E778E8" w:rsidRDefault="00E778E8" w:rsidP="008A49E9">
      <w:pPr>
        <w:pStyle w:val="EndNoteBibliography"/>
        <w:jc w:val="center"/>
        <w:rPr>
          <w:b/>
        </w:rPr>
      </w:pPr>
    </w:p>
    <w:p w:rsidR="00E778E8" w:rsidRDefault="00E778E8" w:rsidP="008A49E9">
      <w:pPr>
        <w:pStyle w:val="EndNoteBibliography"/>
        <w:jc w:val="center"/>
        <w:rPr>
          <w:b/>
        </w:rPr>
      </w:pPr>
    </w:p>
    <w:p w:rsidR="00E778E8" w:rsidRPr="00407B77" w:rsidRDefault="00E778E8" w:rsidP="008A49E9">
      <w:pPr>
        <w:pStyle w:val="EndNoteBibliography"/>
        <w:jc w:val="center"/>
        <w:rPr>
          <w:rFonts w:ascii="Times New Roman" w:hAnsi="Times New Roman" w:cs="Times New Roman"/>
          <w:b/>
        </w:rPr>
      </w:pPr>
    </w:p>
    <w:p w:rsidR="00E778E8" w:rsidRPr="00407B77" w:rsidRDefault="00E778E8" w:rsidP="00AE7155">
      <w:pPr>
        <w:rPr>
          <w:rFonts w:ascii="Times New Roman" w:hAnsi="Times New Roman" w:cs="Times New Roman"/>
        </w:rPr>
      </w:pPr>
      <w:r w:rsidRPr="00407B77">
        <w:rPr>
          <w:rFonts w:ascii="Times New Roman" w:hAnsi="Times New Roman" w:cs="Times New Roman"/>
        </w:rPr>
        <w:t>Supplementary Table ST2: Group x Sex x Valence Linear Mixed Effects Analysis of fMRI data</w:t>
      </w:r>
    </w:p>
    <w:p w:rsidR="00E778E8" w:rsidRPr="00407B77" w:rsidRDefault="00E778E8" w:rsidP="00AE7155">
      <w:pPr>
        <w:rPr>
          <w:rFonts w:ascii="Times New Roman" w:hAnsi="Times New Roman" w:cs="Times New Roman"/>
        </w:rPr>
      </w:pPr>
    </w:p>
    <w:tbl>
      <w:tblPr>
        <w:tblW w:w="6120" w:type="dxa"/>
        <w:tblInd w:w="93" w:type="dxa"/>
        <w:tblLook w:val="04A0" w:firstRow="1" w:lastRow="0" w:firstColumn="1" w:lastColumn="0" w:noHBand="0" w:noVBand="1"/>
      </w:tblPr>
      <w:tblGrid>
        <w:gridCol w:w="2248"/>
        <w:gridCol w:w="1456"/>
        <w:gridCol w:w="1424"/>
        <w:gridCol w:w="992"/>
      </w:tblGrid>
      <w:tr w:rsidR="00E778E8" w:rsidRPr="008A3621" w:rsidTr="008A3621">
        <w:trPr>
          <w:trHeight w:val="300"/>
        </w:trPr>
        <w:tc>
          <w:tcPr>
            <w:tcW w:w="6120" w:type="dxa"/>
            <w:gridSpan w:val="4"/>
            <w:tcBorders>
              <w:top w:val="single" w:sz="8" w:space="0" w:color="auto"/>
              <w:left w:val="nil"/>
              <w:bottom w:val="nil"/>
              <w:right w:val="nil"/>
            </w:tcBorders>
            <w:shd w:val="clear" w:color="auto" w:fill="auto"/>
            <w:noWrap/>
            <w:vAlign w:val="bottom"/>
            <w:hideMark/>
          </w:tcPr>
          <w:p w:rsidR="00E778E8" w:rsidRPr="008A3621" w:rsidRDefault="00E778E8" w:rsidP="008A3621">
            <w:pPr>
              <w:jc w:val="center"/>
              <w:rPr>
                <w:rFonts w:ascii="Times New Roman" w:eastAsia="Times New Roman" w:hAnsi="Times New Roman" w:cs="Times New Roman"/>
                <w:b/>
                <w:bCs/>
                <w:color w:val="000000"/>
              </w:rPr>
            </w:pPr>
            <w:r w:rsidRPr="008A3621">
              <w:rPr>
                <w:rFonts w:ascii="Times New Roman" w:eastAsia="Times New Roman" w:hAnsi="Times New Roman" w:cs="Times New Roman"/>
                <w:b/>
                <w:bCs/>
                <w:color w:val="000000"/>
              </w:rPr>
              <w:t>Gender x Diagnosis x Valence Interaction</w:t>
            </w:r>
          </w:p>
        </w:tc>
      </w:tr>
      <w:tr w:rsidR="00E778E8" w:rsidRPr="008A3621" w:rsidTr="008A3621">
        <w:trPr>
          <w:trHeight w:val="300"/>
        </w:trPr>
        <w:tc>
          <w:tcPr>
            <w:tcW w:w="2248" w:type="dxa"/>
            <w:tcBorders>
              <w:top w:val="nil"/>
              <w:left w:val="nil"/>
              <w:bottom w:val="dotted" w:sz="4" w:space="0" w:color="auto"/>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b/>
                <w:bCs/>
                <w:color w:val="000000"/>
              </w:rPr>
            </w:pPr>
            <w:r w:rsidRPr="008A3621">
              <w:rPr>
                <w:rFonts w:ascii="Times New Roman" w:eastAsia="Times New Roman" w:hAnsi="Times New Roman" w:cs="Times New Roman"/>
                <w:b/>
                <w:bCs/>
                <w:color w:val="000000"/>
              </w:rPr>
              <w:t>Area</w:t>
            </w:r>
          </w:p>
        </w:tc>
        <w:tc>
          <w:tcPr>
            <w:tcW w:w="1456" w:type="dxa"/>
            <w:tcBorders>
              <w:top w:val="nil"/>
              <w:left w:val="nil"/>
              <w:bottom w:val="dotted" w:sz="4" w:space="0" w:color="auto"/>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proofErr w:type="gramStart"/>
            <w:r w:rsidRPr="008A3621">
              <w:rPr>
                <w:rFonts w:ascii="Times New Roman" w:eastAsia="Times New Roman" w:hAnsi="Times New Roman" w:cs="Times New Roman"/>
                <w:color w:val="000000"/>
              </w:rPr>
              <w:t>x</w:t>
            </w:r>
            <w:proofErr w:type="gramEnd"/>
            <w:r w:rsidRPr="008A3621">
              <w:rPr>
                <w:rFonts w:ascii="Times New Roman" w:eastAsia="Times New Roman" w:hAnsi="Times New Roman" w:cs="Times New Roman"/>
                <w:color w:val="000000"/>
              </w:rPr>
              <w:t>, y, z</w:t>
            </w:r>
          </w:p>
        </w:tc>
        <w:tc>
          <w:tcPr>
            <w:tcW w:w="1424" w:type="dxa"/>
            <w:tcBorders>
              <w:top w:val="nil"/>
              <w:left w:val="nil"/>
              <w:bottom w:val="dotted" w:sz="4" w:space="0" w:color="auto"/>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proofErr w:type="gramStart"/>
            <w:r w:rsidRPr="008A3621">
              <w:rPr>
                <w:rFonts w:ascii="Times New Roman" w:eastAsia="Times New Roman" w:hAnsi="Times New Roman" w:cs="Times New Roman"/>
                <w:color w:val="000000"/>
              </w:rPr>
              <w:t>cluster</w:t>
            </w:r>
            <w:proofErr w:type="gramEnd"/>
            <w:r w:rsidRPr="008A3621">
              <w:rPr>
                <w:rFonts w:ascii="Times New Roman" w:eastAsia="Times New Roman" w:hAnsi="Times New Roman" w:cs="Times New Roman"/>
                <w:color w:val="000000"/>
              </w:rPr>
              <w:t xml:space="preserve"> size</w:t>
            </w:r>
          </w:p>
        </w:tc>
        <w:tc>
          <w:tcPr>
            <w:tcW w:w="992" w:type="dxa"/>
            <w:tcBorders>
              <w:top w:val="nil"/>
              <w:left w:val="nil"/>
              <w:bottom w:val="dotted" w:sz="4" w:space="0" w:color="auto"/>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F Value</w:t>
            </w:r>
          </w:p>
        </w:tc>
      </w:tr>
      <w:tr w:rsidR="00E778E8" w:rsidRPr="008A3621" w:rsidTr="008A3621">
        <w:trPr>
          <w:trHeight w:val="300"/>
        </w:trPr>
        <w:tc>
          <w:tcPr>
            <w:tcW w:w="2248"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L medial frontal G</w:t>
            </w:r>
          </w:p>
        </w:tc>
        <w:tc>
          <w:tcPr>
            <w:tcW w:w="1456"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-11, 37, 26</w:t>
            </w:r>
          </w:p>
        </w:tc>
        <w:tc>
          <w:tcPr>
            <w:tcW w:w="1424"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33</w:t>
            </w:r>
          </w:p>
        </w:tc>
        <w:tc>
          <w:tcPr>
            <w:tcW w:w="992"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6.78</w:t>
            </w:r>
          </w:p>
        </w:tc>
      </w:tr>
      <w:tr w:rsidR="00E778E8" w:rsidRPr="008A3621" w:rsidTr="008A3621">
        <w:trPr>
          <w:trHeight w:val="300"/>
        </w:trPr>
        <w:tc>
          <w:tcPr>
            <w:tcW w:w="2248"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 xml:space="preserve">R </w:t>
            </w:r>
            <w:proofErr w:type="spellStart"/>
            <w:r w:rsidRPr="008A3621">
              <w:rPr>
                <w:rFonts w:ascii="Times New Roman" w:eastAsia="Times New Roman" w:hAnsi="Times New Roman" w:cs="Times New Roman"/>
                <w:color w:val="000000"/>
              </w:rPr>
              <w:t>subgenual</w:t>
            </w:r>
            <w:proofErr w:type="spellEnd"/>
            <w:r w:rsidRPr="008A3621">
              <w:rPr>
                <w:rFonts w:ascii="Times New Roman" w:eastAsia="Times New Roman" w:hAnsi="Times New Roman" w:cs="Times New Roman"/>
                <w:color w:val="000000"/>
              </w:rPr>
              <w:t xml:space="preserve"> ACC</w:t>
            </w:r>
          </w:p>
        </w:tc>
        <w:tc>
          <w:tcPr>
            <w:tcW w:w="1456"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7, 21, -10</w:t>
            </w:r>
          </w:p>
        </w:tc>
        <w:tc>
          <w:tcPr>
            <w:tcW w:w="1424"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130</w:t>
            </w:r>
          </w:p>
        </w:tc>
        <w:tc>
          <w:tcPr>
            <w:tcW w:w="992"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10.2</w:t>
            </w:r>
          </w:p>
        </w:tc>
      </w:tr>
      <w:tr w:rsidR="00E778E8" w:rsidRPr="008A3621" w:rsidTr="008A3621">
        <w:trPr>
          <w:trHeight w:val="300"/>
        </w:trPr>
        <w:tc>
          <w:tcPr>
            <w:tcW w:w="2248"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L ACC</w:t>
            </w:r>
          </w:p>
        </w:tc>
        <w:tc>
          <w:tcPr>
            <w:tcW w:w="1456"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-9, -5, 32</w:t>
            </w:r>
          </w:p>
        </w:tc>
        <w:tc>
          <w:tcPr>
            <w:tcW w:w="1424"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123</w:t>
            </w:r>
          </w:p>
        </w:tc>
        <w:tc>
          <w:tcPr>
            <w:tcW w:w="992"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10.9</w:t>
            </w:r>
          </w:p>
        </w:tc>
      </w:tr>
      <w:tr w:rsidR="00E778E8" w:rsidRPr="008A3621" w:rsidTr="008A3621">
        <w:trPr>
          <w:trHeight w:val="300"/>
        </w:trPr>
        <w:tc>
          <w:tcPr>
            <w:tcW w:w="2248"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R PCC</w:t>
            </w:r>
          </w:p>
        </w:tc>
        <w:tc>
          <w:tcPr>
            <w:tcW w:w="1456"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3, -53, 19</w:t>
            </w:r>
          </w:p>
        </w:tc>
        <w:tc>
          <w:tcPr>
            <w:tcW w:w="1424"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132</w:t>
            </w:r>
          </w:p>
        </w:tc>
        <w:tc>
          <w:tcPr>
            <w:tcW w:w="992"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10.3</w:t>
            </w:r>
          </w:p>
        </w:tc>
      </w:tr>
      <w:tr w:rsidR="00E778E8" w:rsidRPr="008A3621" w:rsidTr="008A3621">
        <w:trPr>
          <w:trHeight w:val="300"/>
        </w:trPr>
        <w:tc>
          <w:tcPr>
            <w:tcW w:w="2248"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R Insula</w:t>
            </w:r>
          </w:p>
        </w:tc>
        <w:tc>
          <w:tcPr>
            <w:tcW w:w="1456"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37, -15, 20</w:t>
            </w:r>
          </w:p>
        </w:tc>
        <w:tc>
          <w:tcPr>
            <w:tcW w:w="1424"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239</w:t>
            </w:r>
          </w:p>
        </w:tc>
        <w:tc>
          <w:tcPr>
            <w:tcW w:w="992"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9.72</w:t>
            </w:r>
          </w:p>
        </w:tc>
      </w:tr>
      <w:tr w:rsidR="00E778E8" w:rsidRPr="008A3621" w:rsidTr="008A3621">
        <w:trPr>
          <w:trHeight w:val="300"/>
        </w:trPr>
        <w:tc>
          <w:tcPr>
            <w:tcW w:w="2248"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L caudate</w:t>
            </w:r>
          </w:p>
        </w:tc>
        <w:tc>
          <w:tcPr>
            <w:tcW w:w="1456"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11, 17, -2</w:t>
            </w:r>
          </w:p>
        </w:tc>
        <w:tc>
          <w:tcPr>
            <w:tcW w:w="1424"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32</w:t>
            </w:r>
          </w:p>
        </w:tc>
        <w:tc>
          <w:tcPr>
            <w:tcW w:w="992"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10.8</w:t>
            </w:r>
          </w:p>
        </w:tc>
      </w:tr>
      <w:tr w:rsidR="00E778E8" w:rsidRPr="008A3621" w:rsidTr="008A3621">
        <w:trPr>
          <w:trHeight w:val="300"/>
        </w:trPr>
        <w:tc>
          <w:tcPr>
            <w:tcW w:w="2248"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L Precuneus</w:t>
            </w:r>
          </w:p>
        </w:tc>
        <w:tc>
          <w:tcPr>
            <w:tcW w:w="1456"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-15, -49, 48</w:t>
            </w:r>
          </w:p>
        </w:tc>
        <w:tc>
          <w:tcPr>
            <w:tcW w:w="1424"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37</w:t>
            </w:r>
          </w:p>
        </w:tc>
        <w:tc>
          <w:tcPr>
            <w:tcW w:w="992"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12.1</w:t>
            </w:r>
          </w:p>
        </w:tc>
      </w:tr>
      <w:tr w:rsidR="00E778E8" w:rsidRPr="008A3621" w:rsidTr="008A3621">
        <w:trPr>
          <w:trHeight w:val="300"/>
        </w:trPr>
        <w:tc>
          <w:tcPr>
            <w:tcW w:w="2248"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R Precuneus</w:t>
            </w:r>
          </w:p>
        </w:tc>
        <w:tc>
          <w:tcPr>
            <w:tcW w:w="1456"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15, -61, 18</w:t>
            </w:r>
          </w:p>
        </w:tc>
        <w:tc>
          <w:tcPr>
            <w:tcW w:w="1424"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55</w:t>
            </w:r>
          </w:p>
        </w:tc>
        <w:tc>
          <w:tcPr>
            <w:tcW w:w="992" w:type="dxa"/>
            <w:tcBorders>
              <w:top w:val="nil"/>
              <w:left w:val="nil"/>
              <w:bottom w:val="nil"/>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7.19</w:t>
            </w:r>
          </w:p>
        </w:tc>
      </w:tr>
      <w:tr w:rsidR="00E778E8" w:rsidRPr="008A3621" w:rsidTr="008A3621">
        <w:trPr>
          <w:trHeight w:val="320"/>
        </w:trPr>
        <w:tc>
          <w:tcPr>
            <w:tcW w:w="2248" w:type="dxa"/>
            <w:tcBorders>
              <w:top w:val="nil"/>
              <w:left w:val="nil"/>
              <w:bottom w:val="single" w:sz="8" w:space="0" w:color="auto"/>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L thalamus</w:t>
            </w:r>
          </w:p>
        </w:tc>
        <w:tc>
          <w:tcPr>
            <w:tcW w:w="1456" w:type="dxa"/>
            <w:tcBorders>
              <w:top w:val="nil"/>
              <w:left w:val="nil"/>
              <w:bottom w:val="single" w:sz="8" w:space="0" w:color="auto"/>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-1, -13, 12</w:t>
            </w:r>
          </w:p>
        </w:tc>
        <w:tc>
          <w:tcPr>
            <w:tcW w:w="1424" w:type="dxa"/>
            <w:tcBorders>
              <w:top w:val="nil"/>
              <w:left w:val="nil"/>
              <w:bottom w:val="single" w:sz="8" w:space="0" w:color="auto"/>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33</w:t>
            </w:r>
          </w:p>
        </w:tc>
        <w:tc>
          <w:tcPr>
            <w:tcW w:w="992" w:type="dxa"/>
            <w:tcBorders>
              <w:top w:val="nil"/>
              <w:left w:val="nil"/>
              <w:bottom w:val="single" w:sz="8" w:space="0" w:color="auto"/>
              <w:right w:val="nil"/>
            </w:tcBorders>
            <w:shd w:val="clear" w:color="auto" w:fill="auto"/>
            <w:noWrap/>
            <w:vAlign w:val="bottom"/>
            <w:hideMark/>
          </w:tcPr>
          <w:p w:rsidR="00E778E8" w:rsidRPr="008A3621" w:rsidRDefault="00E778E8" w:rsidP="008A3621">
            <w:pPr>
              <w:rPr>
                <w:rFonts w:ascii="Times New Roman" w:eastAsia="Times New Roman" w:hAnsi="Times New Roman" w:cs="Times New Roman"/>
                <w:color w:val="000000"/>
              </w:rPr>
            </w:pPr>
            <w:r w:rsidRPr="008A3621">
              <w:rPr>
                <w:rFonts w:ascii="Times New Roman" w:eastAsia="Times New Roman" w:hAnsi="Times New Roman" w:cs="Times New Roman"/>
                <w:color w:val="000000"/>
              </w:rPr>
              <w:t>13.3</w:t>
            </w:r>
          </w:p>
        </w:tc>
      </w:tr>
    </w:tbl>
    <w:p w:rsidR="00E778E8" w:rsidRPr="00407B77" w:rsidRDefault="00E778E8" w:rsidP="00AE7155">
      <w:pPr>
        <w:rPr>
          <w:rFonts w:ascii="Times New Roman" w:hAnsi="Times New Roman" w:cs="Times New Roman"/>
        </w:rPr>
      </w:pPr>
    </w:p>
    <w:p w:rsidR="00E778E8" w:rsidRPr="00407B77" w:rsidRDefault="00E778E8" w:rsidP="007F3EC1">
      <w:pPr>
        <w:rPr>
          <w:rFonts w:ascii="Times New Roman" w:hAnsi="Times New Roman" w:cs="Times New Roman"/>
        </w:rPr>
      </w:pPr>
      <w:r w:rsidRPr="00407B77">
        <w:rPr>
          <w:rFonts w:ascii="Times New Roman" w:hAnsi="Times New Roman" w:cs="Times New Roman"/>
        </w:rPr>
        <w:t xml:space="preserve">Coordinates correspond to the stereotaxic array of Talairach &amp; Tournoux (1988). Cluster size refers to the number of contiguous voxels for which the voxel F value corresponds to </w:t>
      </w:r>
      <w:proofErr w:type="spellStart"/>
      <w:r w:rsidRPr="00407B77">
        <w:rPr>
          <w:rFonts w:ascii="Times New Roman" w:hAnsi="Times New Roman" w:cs="Times New Roman"/>
          <w:i/>
        </w:rPr>
        <w:t>p</w:t>
      </w:r>
      <w:r w:rsidRPr="00407B77">
        <w:rPr>
          <w:rFonts w:ascii="Times New Roman" w:hAnsi="Times New Roman" w:cs="Times New Roman"/>
          <w:vertAlign w:val="subscript"/>
        </w:rPr>
        <w:t>corrected</w:t>
      </w:r>
      <w:proofErr w:type="spellEnd"/>
      <w:r w:rsidRPr="00407B77">
        <w:rPr>
          <w:rFonts w:ascii="Times New Roman" w:hAnsi="Times New Roman" w:cs="Times New Roman"/>
        </w:rPr>
        <w:t xml:space="preserve">&lt;0.05. Abbreviations: ACC= anterior cingulate cortex; G= gyrus; L= left; </w:t>
      </w:r>
      <w:r>
        <w:rPr>
          <w:rFonts w:ascii="Times New Roman" w:hAnsi="Times New Roman" w:cs="Times New Roman"/>
        </w:rPr>
        <w:t xml:space="preserve">PCC = posterior cingulate cortex; </w:t>
      </w:r>
      <w:r w:rsidRPr="00407B77">
        <w:rPr>
          <w:rFonts w:ascii="Times New Roman" w:hAnsi="Times New Roman" w:cs="Times New Roman"/>
        </w:rPr>
        <w:t>R= right</w:t>
      </w:r>
      <w:r>
        <w:rPr>
          <w:rFonts w:ascii="Times New Roman" w:hAnsi="Times New Roman" w:cs="Times New Roman"/>
        </w:rPr>
        <w:t xml:space="preserve"> </w:t>
      </w: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AE7155">
      <w:pPr>
        <w:rPr>
          <w:rFonts w:ascii="Times New Roman" w:hAnsi="Times New Roman" w:cs="Times New Roman"/>
        </w:rPr>
      </w:pPr>
    </w:p>
    <w:p w:rsidR="00E778E8" w:rsidRDefault="00E778E8" w:rsidP="00E778E8">
      <w:pPr>
        <w:pStyle w:val="EndNoteBibliography"/>
        <w:rPr>
          <w:b/>
        </w:rPr>
      </w:pPr>
    </w:p>
    <w:p w:rsidR="00E778E8" w:rsidRDefault="00E778E8" w:rsidP="00E778E8">
      <w:pPr>
        <w:pStyle w:val="EndNoteBibliography"/>
        <w:jc w:val="center"/>
        <w:rPr>
          <w:b/>
        </w:rPr>
      </w:pPr>
      <w:r w:rsidRPr="008A49E9">
        <w:rPr>
          <w:b/>
        </w:rPr>
        <w:t>References:</w:t>
      </w:r>
    </w:p>
    <w:p w:rsidR="00E778E8" w:rsidRDefault="00E778E8" w:rsidP="00E778E8">
      <w:pPr>
        <w:pStyle w:val="EndNoteBibliography"/>
        <w:rPr>
          <w:b/>
        </w:rPr>
      </w:pPr>
    </w:p>
    <w:p w:rsidR="00E778E8" w:rsidRPr="008A49E9" w:rsidRDefault="00094144" w:rsidP="00E778E8">
      <w:pPr>
        <w:pStyle w:val="EndNoteBibliography"/>
        <w:spacing w:line="480" w:lineRule="auto"/>
        <w:rPr>
          <w:noProof/>
        </w:rPr>
      </w:pPr>
      <w:r>
        <w:rPr>
          <w:b/>
          <w:noProof/>
        </w:rPr>
        <w:t>Piefke M, Weiss P, Markowitsch H, Fink G</w:t>
      </w:r>
      <w:r w:rsidR="00E778E8" w:rsidRPr="008A49E9">
        <w:rPr>
          <w:b/>
          <w:noProof/>
        </w:rPr>
        <w:t xml:space="preserve"> </w:t>
      </w:r>
      <w:r w:rsidR="00E778E8" w:rsidRPr="008A49E9">
        <w:rPr>
          <w:noProof/>
        </w:rPr>
        <w:t xml:space="preserve">(2005). Gender differences in the functional neuroanatomy of emotional episodic autobiographical memory. </w:t>
      </w:r>
      <w:r>
        <w:rPr>
          <w:i/>
          <w:noProof/>
        </w:rPr>
        <w:t>Human Brain M</w:t>
      </w:r>
      <w:r w:rsidR="00E778E8" w:rsidRPr="008A49E9">
        <w:rPr>
          <w:i/>
          <w:noProof/>
        </w:rPr>
        <w:t>apping</w:t>
      </w:r>
      <w:r w:rsidR="00E778E8" w:rsidRPr="008A49E9">
        <w:rPr>
          <w:noProof/>
        </w:rPr>
        <w:t xml:space="preserve"> </w:t>
      </w:r>
      <w:r w:rsidR="00E778E8" w:rsidRPr="008A49E9">
        <w:rPr>
          <w:b/>
          <w:noProof/>
        </w:rPr>
        <w:t>24</w:t>
      </w:r>
      <w:r w:rsidR="00E778E8" w:rsidRPr="008A49E9">
        <w:rPr>
          <w:noProof/>
        </w:rPr>
        <w:t>, 313-324.</w:t>
      </w:r>
    </w:p>
    <w:p w:rsidR="00E778E8" w:rsidRPr="008A49E9" w:rsidRDefault="00E778E8" w:rsidP="00E778E8">
      <w:pPr>
        <w:pStyle w:val="EndNoteBibliography"/>
        <w:spacing w:line="480" w:lineRule="auto"/>
        <w:rPr>
          <w:noProof/>
        </w:rPr>
      </w:pPr>
      <w:r w:rsidRPr="008A49E9">
        <w:rPr>
          <w:b/>
          <w:noProof/>
        </w:rPr>
        <w:t>St Jacques</w:t>
      </w:r>
      <w:r w:rsidR="00094144">
        <w:rPr>
          <w:b/>
          <w:noProof/>
        </w:rPr>
        <w:t xml:space="preserve"> PL, Conway MA, Cabeza R</w:t>
      </w:r>
      <w:r w:rsidRPr="008A49E9">
        <w:rPr>
          <w:b/>
          <w:noProof/>
        </w:rPr>
        <w:t xml:space="preserve"> </w:t>
      </w:r>
      <w:r w:rsidRPr="008A49E9">
        <w:rPr>
          <w:noProof/>
        </w:rPr>
        <w:t xml:space="preserve">(2011). Gender differences in autobiographical memory for everyday events: retrieval elicited by SenseCam images versus verbal cues. </w:t>
      </w:r>
      <w:r w:rsidRPr="008A49E9">
        <w:rPr>
          <w:i/>
          <w:noProof/>
        </w:rPr>
        <w:t>Memory</w:t>
      </w:r>
      <w:r w:rsidRPr="008A49E9">
        <w:rPr>
          <w:noProof/>
        </w:rPr>
        <w:t xml:space="preserve"> </w:t>
      </w:r>
      <w:r w:rsidRPr="008A49E9">
        <w:rPr>
          <w:b/>
          <w:noProof/>
        </w:rPr>
        <w:t>19</w:t>
      </w:r>
      <w:r w:rsidRPr="008A49E9">
        <w:rPr>
          <w:noProof/>
        </w:rPr>
        <w:t>, 723-</w:t>
      </w:r>
      <w:r w:rsidR="00094144">
        <w:rPr>
          <w:noProof/>
        </w:rPr>
        <w:t>7</w:t>
      </w:r>
      <w:r w:rsidRPr="008A49E9">
        <w:rPr>
          <w:noProof/>
        </w:rPr>
        <w:t>32.</w:t>
      </w:r>
    </w:p>
    <w:p w:rsidR="00E778E8" w:rsidRPr="008A49E9" w:rsidRDefault="00094144" w:rsidP="00E778E8">
      <w:pPr>
        <w:pStyle w:val="EndNoteBibliography"/>
        <w:spacing w:line="480" w:lineRule="auto"/>
        <w:rPr>
          <w:noProof/>
        </w:rPr>
      </w:pPr>
      <w:r>
        <w:rPr>
          <w:b/>
          <w:noProof/>
        </w:rPr>
        <w:t>Williams JM, Barnhofer T, Crane C, Herman D, Raes F, Watkins E, Dalgleish T</w:t>
      </w:r>
      <w:r w:rsidR="00E778E8" w:rsidRPr="008A49E9">
        <w:rPr>
          <w:b/>
          <w:noProof/>
        </w:rPr>
        <w:t xml:space="preserve"> </w:t>
      </w:r>
      <w:r w:rsidR="00E778E8" w:rsidRPr="008A49E9">
        <w:rPr>
          <w:noProof/>
        </w:rPr>
        <w:t xml:space="preserve">(2007). Autobiographical memory specificity and emotional disorder. </w:t>
      </w:r>
      <w:r>
        <w:rPr>
          <w:i/>
          <w:noProof/>
        </w:rPr>
        <w:t>Psychological B</w:t>
      </w:r>
      <w:r w:rsidR="00E778E8" w:rsidRPr="008A49E9">
        <w:rPr>
          <w:i/>
          <w:noProof/>
        </w:rPr>
        <w:t>ulletin</w:t>
      </w:r>
      <w:r w:rsidR="00E778E8" w:rsidRPr="008A49E9">
        <w:rPr>
          <w:noProof/>
        </w:rPr>
        <w:t xml:space="preserve"> </w:t>
      </w:r>
      <w:r w:rsidR="00E778E8" w:rsidRPr="008A49E9">
        <w:rPr>
          <w:b/>
          <w:noProof/>
        </w:rPr>
        <w:t>133</w:t>
      </w:r>
      <w:r w:rsidR="00E778E8" w:rsidRPr="008A49E9">
        <w:rPr>
          <w:noProof/>
        </w:rPr>
        <w:t>, 122-</w:t>
      </w:r>
      <w:r>
        <w:rPr>
          <w:noProof/>
        </w:rPr>
        <w:t>1</w:t>
      </w:r>
      <w:r w:rsidR="00E778E8" w:rsidRPr="008A49E9">
        <w:rPr>
          <w:noProof/>
        </w:rPr>
        <w:t>48.</w:t>
      </w:r>
    </w:p>
    <w:p w:rsidR="00E778E8" w:rsidRPr="008A49E9" w:rsidRDefault="00094144" w:rsidP="00E778E8">
      <w:pPr>
        <w:pStyle w:val="EndNoteBibliography"/>
        <w:spacing w:line="480" w:lineRule="auto"/>
        <w:rPr>
          <w:noProof/>
        </w:rPr>
      </w:pPr>
      <w:r>
        <w:rPr>
          <w:b/>
          <w:noProof/>
        </w:rPr>
        <w:t>Young KD, Bellgowan P, Bodurka J, Drevets WC</w:t>
      </w:r>
      <w:r w:rsidR="00E778E8" w:rsidRPr="008A49E9">
        <w:rPr>
          <w:b/>
          <w:noProof/>
        </w:rPr>
        <w:t xml:space="preserve"> </w:t>
      </w:r>
      <w:r w:rsidR="00E778E8" w:rsidRPr="008A49E9">
        <w:rPr>
          <w:noProof/>
        </w:rPr>
        <w:t xml:space="preserve">(2013). Behavioral and neurophysiological correlates of autobiographical memory deficits in patients with depression and individuals at high risk for depression. </w:t>
      </w:r>
      <w:r w:rsidR="00E778E8" w:rsidRPr="008A49E9">
        <w:rPr>
          <w:i/>
          <w:noProof/>
        </w:rPr>
        <w:t>J</w:t>
      </w:r>
      <w:r>
        <w:rPr>
          <w:i/>
          <w:noProof/>
        </w:rPr>
        <w:t xml:space="preserve">ournal of the </w:t>
      </w:r>
      <w:r w:rsidR="00E778E8" w:rsidRPr="008A49E9">
        <w:rPr>
          <w:i/>
          <w:noProof/>
        </w:rPr>
        <w:t>A</w:t>
      </w:r>
      <w:r>
        <w:rPr>
          <w:i/>
          <w:noProof/>
        </w:rPr>
        <w:t xml:space="preserve">erican </w:t>
      </w:r>
      <w:r w:rsidR="00E778E8" w:rsidRPr="008A49E9">
        <w:rPr>
          <w:i/>
          <w:noProof/>
        </w:rPr>
        <w:t>M</w:t>
      </w:r>
      <w:r>
        <w:rPr>
          <w:i/>
          <w:noProof/>
        </w:rPr>
        <w:t xml:space="preserve">edical </w:t>
      </w:r>
      <w:r w:rsidR="00E778E8" w:rsidRPr="008A49E9">
        <w:rPr>
          <w:i/>
          <w:noProof/>
        </w:rPr>
        <w:t>A</w:t>
      </w:r>
      <w:r>
        <w:rPr>
          <w:i/>
          <w:noProof/>
        </w:rPr>
        <w:t>ssociation:</w:t>
      </w:r>
      <w:bookmarkStart w:id="0" w:name="_GoBack"/>
      <w:bookmarkEnd w:id="0"/>
      <w:r w:rsidR="00E778E8" w:rsidRPr="008A49E9">
        <w:rPr>
          <w:i/>
          <w:noProof/>
        </w:rPr>
        <w:t xml:space="preserve"> Psychiatry</w:t>
      </w:r>
      <w:r w:rsidR="00E778E8" w:rsidRPr="008A49E9">
        <w:rPr>
          <w:noProof/>
        </w:rPr>
        <w:t xml:space="preserve"> </w:t>
      </w:r>
      <w:r w:rsidR="00E778E8" w:rsidRPr="008A49E9">
        <w:rPr>
          <w:b/>
          <w:noProof/>
        </w:rPr>
        <w:t>70</w:t>
      </w:r>
      <w:r w:rsidR="00E778E8" w:rsidRPr="008A49E9">
        <w:rPr>
          <w:noProof/>
        </w:rPr>
        <w:t>, 698-708.</w:t>
      </w:r>
    </w:p>
    <w:sectPr w:rsidR="00E778E8" w:rsidRPr="008A49E9" w:rsidSect="00E77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778E8"/>
    <w:rsid w:val="00094144"/>
    <w:rsid w:val="007D1CCC"/>
    <w:rsid w:val="00D45420"/>
    <w:rsid w:val="00E7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8E8"/>
    <w:rPr>
      <w:rFonts w:ascii="Lucida Grande" w:hAnsi="Lucida Grande" w:cs="Lucida Grande"/>
      <w:sz w:val="18"/>
      <w:szCs w:val="18"/>
    </w:rPr>
  </w:style>
  <w:style w:type="paragraph" w:customStyle="1" w:styleId="EndNoteBibliographyTitle">
    <w:name w:val="EndNote Bibliography Title"/>
    <w:basedOn w:val="Normal"/>
    <w:rsid w:val="00E778E8"/>
    <w:pPr>
      <w:jc w:val="center"/>
    </w:pPr>
    <w:rPr>
      <w:rFonts w:ascii="Cambria" w:hAnsi="Cambria"/>
    </w:rPr>
  </w:style>
  <w:style w:type="paragraph" w:customStyle="1" w:styleId="EndNoteBibliography">
    <w:name w:val="EndNote Bibliography"/>
    <w:basedOn w:val="Normal"/>
    <w:rsid w:val="00E778E8"/>
    <w:rPr>
      <w:rFonts w:ascii="Cambria" w:hAnsi="Cambria"/>
    </w:rPr>
  </w:style>
  <w:style w:type="paragraph" w:styleId="ListParagraph">
    <w:name w:val="List Paragraph"/>
    <w:basedOn w:val="Normal"/>
    <w:uiPriority w:val="34"/>
    <w:qFormat/>
    <w:rsid w:val="00E778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8E8"/>
    <w:rPr>
      <w:rFonts w:ascii="Lucida Grande" w:hAnsi="Lucida Grande" w:cs="Lucida Grande"/>
      <w:sz w:val="18"/>
      <w:szCs w:val="18"/>
    </w:rPr>
  </w:style>
  <w:style w:type="paragraph" w:customStyle="1" w:styleId="EndNoteBibliographyTitle">
    <w:name w:val="EndNote Bibliography Title"/>
    <w:basedOn w:val="Normal"/>
    <w:rsid w:val="00E778E8"/>
    <w:pPr>
      <w:jc w:val="center"/>
    </w:pPr>
    <w:rPr>
      <w:rFonts w:ascii="Cambria" w:hAnsi="Cambria"/>
    </w:rPr>
  </w:style>
  <w:style w:type="paragraph" w:customStyle="1" w:styleId="EndNoteBibliography">
    <w:name w:val="EndNote Bibliography"/>
    <w:basedOn w:val="Normal"/>
    <w:rsid w:val="00E778E8"/>
    <w:rPr>
      <w:rFonts w:ascii="Cambria" w:hAnsi="Cambria"/>
    </w:rPr>
  </w:style>
  <w:style w:type="paragraph" w:styleId="ListParagraph">
    <w:name w:val="List Paragraph"/>
    <w:basedOn w:val="Normal"/>
    <w:uiPriority w:val="34"/>
    <w:qFormat/>
    <w:rsid w:val="00E77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777</Words>
  <Characters>4431</Characters>
  <Application>Microsoft Macintosh Word</Application>
  <DocSecurity>0</DocSecurity>
  <Lines>36</Lines>
  <Paragraphs>10</Paragraphs>
  <ScaleCrop>false</ScaleCrop>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Young</dc:creator>
  <cp:keywords/>
  <dc:description/>
  <cp:lastModifiedBy>Kimberly Young</cp:lastModifiedBy>
  <cp:revision>2</cp:revision>
  <dcterms:created xsi:type="dcterms:W3CDTF">2017-03-30T13:18:00Z</dcterms:created>
  <dcterms:modified xsi:type="dcterms:W3CDTF">2017-03-30T13:18:00Z</dcterms:modified>
</cp:coreProperties>
</file>