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39" w:rsidRPr="004533CF" w:rsidRDefault="009A3839" w:rsidP="009A3839">
      <w:pPr>
        <w:spacing w:line="240" w:lineRule="auto"/>
        <w:ind w:left="-284"/>
        <w:rPr>
          <w:b/>
        </w:rPr>
      </w:pPr>
      <w:r>
        <w:rPr>
          <w:b/>
        </w:rPr>
        <w:t>Table 6:</w:t>
      </w:r>
      <w:r w:rsidRPr="00AD31A5">
        <w:rPr>
          <w:b/>
        </w:rPr>
        <w:t xml:space="preserve"> </w:t>
      </w:r>
      <w:r w:rsidRPr="004533CF">
        <w:rPr>
          <w:b/>
        </w:rPr>
        <w:t xml:space="preserve">Adjusted odds ratios (AOR) and 95% confidence intervals with supporting mediation effect showing the increase in odds for </w:t>
      </w:r>
      <w:r w:rsidR="004B5406" w:rsidRPr="004B5406">
        <w:rPr>
          <w:b/>
        </w:rPr>
        <w:t>suicidal ideation and depressive ideas</w:t>
      </w:r>
      <w:r w:rsidRPr="004533CF">
        <w:rPr>
          <w:b/>
        </w:rPr>
        <w:t xml:space="preserve"> at 45</w:t>
      </w:r>
      <w:r>
        <w:rPr>
          <w:b/>
        </w:rPr>
        <w:t>y, for each childhood adversity</w:t>
      </w:r>
      <w:r w:rsidRPr="004533CF">
        <w:rPr>
          <w:b/>
        </w:rPr>
        <w:t xml:space="preserve"> </w:t>
      </w:r>
    </w:p>
    <w:p w:rsidR="009A3839" w:rsidRDefault="009A3839" w:rsidP="009A3839">
      <w:pPr>
        <w:rPr>
          <w:b/>
        </w:rPr>
      </w:pPr>
    </w:p>
    <w:tbl>
      <w:tblPr>
        <w:tblpPr w:leftFromText="180" w:rightFromText="180" w:vertAnchor="text"/>
        <w:tblW w:w="11307" w:type="dxa"/>
        <w:tblCellMar>
          <w:left w:w="0" w:type="dxa"/>
          <w:right w:w="0" w:type="dxa"/>
        </w:tblCellMar>
        <w:tblLook w:val="04A0" w:firstRow="1" w:lastRow="0" w:firstColumn="1" w:lastColumn="0" w:noHBand="0" w:noVBand="1"/>
      </w:tblPr>
      <w:tblGrid>
        <w:gridCol w:w="2094"/>
        <w:gridCol w:w="993"/>
        <w:gridCol w:w="1135"/>
        <w:gridCol w:w="992"/>
        <w:gridCol w:w="1417"/>
        <w:gridCol w:w="992"/>
        <w:gridCol w:w="1134"/>
        <w:gridCol w:w="992"/>
        <w:gridCol w:w="1558"/>
      </w:tblGrid>
      <w:tr w:rsidR="009A3839" w:rsidTr="009C63DF">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b/>
                <w:bCs/>
              </w:rPr>
            </w:pPr>
            <w:r>
              <w:rPr>
                <w:b/>
                <w:bCs/>
              </w:rPr>
              <w:t>Adversity</w:t>
            </w:r>
          </w:p>
        </w:tc>
        <w:tc>
          <w:tcPr>
            <w:tcW w:w="4537"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b/>
                <w:bCs/>
              </w:rPr>
            </w:pPr>
            <w:r>
              <w:rPr>
                <w:b/>
                <w:bCs/>
              </w:rPr>
              <w:t>In the past week have you felt that life isn’t worth living</w:t>
            </w:r>
          </w:p>
        </w:tc>
        <w:tc>
          <w:tcPr>
            <w:tcW w:w="4676"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b/>
                <w:bCs/>
              </w:rPr>
            </w:pPr>
            <w:r>
              <w:rPr>
                <w:b/>
                <w:bCs/>
              </w:rPr>
              <w:t>Depressive Ideas</w:t>
            </w:r>
          </w:p>
        </w:tc>
      </w:tr>
      <w:tr w:rsidR="009A3839" w:rsidTr="009C63DF">
        <w:tc>
          <w:tcPr>
            <w:tcW w:w="2094"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b/>
                <w:bCs/>
              </w:rPr>
            </w:pPr>
          </w:p>
        </w:tc>
        <w:tc>
          <w:tcPr>
            <w:tcW w:w="993" w:type="dxa"/>
            <w:vMerge w:val="restar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3839" w:rsidRDefault="009A3839" w:rsidP="009C63DF">
            <w:pPr>
              <w:jc w:val="center"/>
              <w:rPr>
                <w:rFonts w:ascii="Calibri" w:hAnsi="Calibri"/>
              </w:rPr>
            </w:pPr>
            <w:r>
              <w:t>AOR</w:t>
            </w:r>
          </w:p>
        </w:tc>
        <w:tc>
          <w:tcPr>
            <w:tcW w:w="1135" w:type="dxa"/>
            <w:vMerge w:val="restar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3839" w:rsidRDefault="009A3839" w:rsidP="009C63DF">
            <w:pPr>
              <w:jc w:val="center"/>
              <w:rPr>
                <w:rFonts w:ascii="Calibri" w:hAnsi="Calibri"/>
              </w:rPr>
            </w:pPr>
            <w:r>
              <w:t>95%CI</w:t>
            </w:r>
          </w:p>
        </w:tc>
        <w:tc>
          <w:tcPr>
            <w:tcW w:w="240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Indirect % of Total Mediation Effect</w:t>
            </w:r>
          </w:p>
        </w:tc>
        <w:tc>
          <w:tcPr>
            <w:tcW w:w="4676" w:type="dxa"/>
            <w:gridSpan w:val="4"/>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3839" w:rsidRDefault="009A3839" w:rsidP="009C63DF">
            <w:pPr>
              <w:jc w:val="center"/>
              <w:rPr>
                <w:rFonts w:ascii="Calibri" w:hAnsi="Calibri"/>
              </w:rPr>
            </w:pPr>
            <w:r>
              <w:t>Indirect % of Total Mediation Effect</w:t>
            </w:r>
          </w:p>
        </w:tc>
      </w:tr>
      <w:tr w:rsidR="009A3839" w:rsidTr="009C63DF">
        <w:tc>
          <w:tcPr>
            <w:tcW w:w="0" w:type="auto"/>
            <w:vMerge/>
            <w:tcBorders>
              <w:top w:val="nil"/>
              <w:left w:val="single" w:sz="8" w:space="0" w:color="000000"/>
              <w:bottom w:val="single" w:sz="8" w:space="0" w:color="000000"/>
              <w:right w:val="single" w:sz="8" w:space="0" w:color="000000"/>
            </w:tcBorders>
            <w:vAlign w:val="center"/>
            <w:hideMark/>
          </w:tcPr>
          <w:p w:rsidR="009A3839" w:rsidRDefault="009A3839" w:rsidP="009C63DF">
            <w:pPr>
              <w:rPr>
                <w:rFonts w:ascii="Calibri" w:hAnsi="Calibri"/>
                <w:b/>
                <w:bCs/>
              </w:rPr>
            </w:pPr>
          </w:p>
        </w:tc>
        <w:tc>
          <w:tcPr>
            <w:tcW w:w="0" w:type="auto"/>
            <w:vMerge/>
            <w:tcBorders>
              <w:top w:val="nil"/>
              <w:left w:val="nil"/>
              <w:bottom w:val="single" w:sz="8" w:space="0" w:color="000000"/>
              <w:right w:val="single" w:sz="8" w:space="0" w:color="000000"/>
            </w:tcBorders>
            <w:vAlign w:val="center"/>
            <w:hideMark/>
          </w:tcPr>
          <w:p w:rsidR="009A3839" w:rsidRDefault="009A3839" w:rsidP="009C63DF">
            <w:pPr>
              <w:rPr>
                <w:rFonts w:ascii="Calibri" w:hAnsi="Calibri"/>
              </w:rPr>
            </w:pPr>
          </w:p>
        </w:tc>
        <w:tc>
          <w:tcPr>
            <w:tcW w:w="0" w:type="auto"/>
            <w:vMerge/>
            <w:tcBorders>
              <w:top w:val="nil"/>
              <w:left w:val="nil"/>
              <w:bottom w:val="single" w:sz="8" w:space="0" w:color="000000"/>
              <w:right w:val="single" w:sz="8" w:space="0" w:color="000000"/>
            </w:tcBorders>
            <w:vAlign w:val="center"/>
            <w:hideMark/>
          </w:tcPr>
          <w:p w:rsidR="009A3839" w:rsidRDefault="009A3839" w:rsidP="009C63DF">
            <w:pPr>
              <w:rPr>
                <w:rFonts w:ascii="Calibri" w:hAnsi="Calibri"/>
              </w:rPr>
            </w:pPr>
          </w:p>
        </w:tc>
        <w:tc>
          <w:tcPr>
            <w:tcW w:w="240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rPr>
                <w:b/>
                <w:bCs/>
              </w:rPr>
              <w:t>Dichotomised adversity scale</w:t>
            </w:r>
          </w:p>
        </w:tc>
        <w:tc>
          <w:tcPr>
            <w:tcW w:w="992" w:type="dxa"/>
            <w:vMerge w:val="restar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3839" w:rsidRDefault="009A3839" w:rsidP="009C63DF">
            <w:pPr>
              <w:jc w:val="center"/>
              <w:rPr>
                <w:rFonts w:ascii="Calibri" w:hAnsi="Calibri"/>
              </w:rPr>
            </w:pPr>
            <w:r>
              <w:t>AOR</w:t>
            </w:r>
          </w:p>
        </w:tc>
        <w:tc>
          <w:tcPr>
            <w:tcW w:w="1134" w:type="dxa"/>
            <w:vMerge w:val="restar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9A3839" w:rsidRDefault="009A3839" w:rsidP="009C63DF">
            <w:pPr>
              <w:jc w:val="center"/>
              <w:rPr>
                <w:rFonts w:ascii="Calibri" w:hAnsi="Calibri"/>
              </w:rPr>
            </w:pPr>
            <w:r>
              <w:t>95%CI</w:t>
            </w:r>
          </w:p>
        </w:tc>
        <w:tc>
          <w:tcPr>
            <w:tcW w:w="25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rPr>
                <w:b/>
                <w:bCs/>
              </w:rPr>
              <w:t>Dichotomised adversity scale</w:t>
            </w:r>
          </w:p>
        </w:tc>
      </w:tr>
      <w:tr w:rsidR="009A3839" w:rsidTr="009C63DF">
        <w:tc>
          <w:tcPr>
            <w:tcW w:w="0" w:type="auto"/>
            <w:vMerge/>
            <w:tcBorders>
              <w:top w:val="nil"/>
              <w:left w:val="single" w:sz="8" w:space="0" w:color="000000"/>
              <w:bottom w:val="single" w:sz="8" w:space="0" w:color="000000"/>
              <w:right w:val="single" w:sz="8" w:space="0" w:color="000000"/>
            </w:tcBorders>
            <w:vAlign w:val="center"/>
            <w:hideMark/>
          </w:tcPr>
          <w:p w:rsidR="009A3839" w:rsidRDefault="009A3839" w:rsidP="009C63DF">
            <w:pPr>
              <w:rPr>
                <w:rFonts w:ascii="Calibri" w:hAnsi="Calibri"/>
                <w:b/>
                <w:bCs/>
              </w:rPr>
            </w:pPr>
          </w:p>
        </w:tc>
        <w:tc>
          <w:tcPr>
            <w:tcW w:w="0" w:type="auto"/>
            <w:vMerge/>
            <w:tcBorders>
              <w:top w:val="nil"/>
              <w:left w:val="nil"/>
              <w:bottom w:val="single" w:sz="8" w:space="0" w:color="000000"/>
              <w:right w:val="single" w:sz="8" w:space="0" w:color="000000"/>
            </w:tcBorders>
            <w:vAlign w:val="center"/>
            <w:hideMark/>
          </w:tcPr>
          <w:p w:rsidR="009A3839" w:rsidRDefault="009A3839" w:rsidP="009C63DF">
            <w:pPr>
              <w:rPr>
                <w:rFonts w:ascii="Calibri" w:hAnsi="Calibri"/>
              </w:rPr>
            </w:pPr>
          </w:p>
        </w:tc>
        <w:tc>
          <w:tcPr>
            <w:tcW w:w="0" w:type="auto"/>
            <w:vMerge/>
            <w:tcBorders>
              <w:top w:val="nil"/>
              <w:left w:val="nil"/>
              <w:bottom w:val="single" w:sz="8" w:space="0" w:color="000000"/>
              <w:right w:val="single" w:sz="8" w:space="0" w:color="000000"/>
            </w:tcBorders>
            <w:vAlign w:val="center"/>
            <w:hideMark/>
          </w:tcPr>
          <w:p w:rsidR="009A3839" w:rsidRDefault="009A3839" w:rsidP="009C63DF">
            <w:pP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Mean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95%CI</w:t>
            </w:r>
          </w:p>
        </w:tc>
        <w:tc>
          <w:tcPr>
            <w:tcW w:w="0" w:type="auto"/>
            <w:vMerge/>
            <w:tcBorders>
              <w:top w:val="nil"/>
              <w:left w:val="nil"/>
              <w:bottom w:val="single" w:sz="8" w:space="0" w:color="000000"/>
              <w:right w:val="single" w:sz="8" w:space="0" w:color="000000"/>
            </w:tcBorders>
            <w:vAlign w:val="center"/>
            <w:hideMark/>
          </w:tcPr>
          <w:p w:rsidR="009A3839" w:rsidRDefault="009A3839" w:rsidP="009C63DF">
            <w:pPr>
              <w:rPr>
                <w:rFonts w:ascii="Calibri" w:hAnsi="Calibri"/>
              </w:rPr>
            </w:pPr>
          </w:p>
        </w:tc>
        <w:tc>
          <w:tcPr>
            <w:tcW w:w="0" w:type="auto"/>
            <w:vMerge/>
            <w:tcBorders>
              <w:top w:val="nil"/>
              <w:left w:val="nil"/>
              <w:bottom w:val="single" w:sz="8" w:space="0" w:color="000000"/>
              <w:right w:val="single" w:sz="8" w:space="0" w:color="000000"/>
            </w:tcBorders>
            <w:vAlign w:val="center"/>
            <w:hideMark/>
          </w:tcPr>
          <w:p w:rsidR="009A3839" w:rsidRDefault="009A3839" w:rsidP="009C63DF">
            <w:pP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Mean %</w:t>
            </w:r>
          </w:p>
        </w:tc>
        <w:tc>
          <w:tcPr>
            <w:tcW w:w="1558" w:type="dxa"/>
            <w:tcBorders>
              <w:top w:val="nil"/>
              <w:left w:val="nil"/>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95%CI</w:t>
            </w: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558"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 xml:space="preserve">Illness in the household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2.15***</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1.53,3.03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Pr="00B82DFB" w:rsidRDefault="009A3839" w:rsidP="009C63DF">
            <w:pPr>
              <w:jc w:val="center"/>
              <w:rPr>
                <w:rFonts w:ascii="Calibri" w:hAnsi="Calibri"/>
                <w:color w:val="000000"/>
              </w:rPr>
            </w:pPr>
            <w:r>
              <w:rPr>
                <w:rFonts w:ascii="Calibri" w:hAnsi="Calibri"/>
                <w:color w:val="000000"/>
              </w:rPr>
              <w:t>3.28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Pr="00B82DFB" w:rsidRDefault="009A3839" w:rsidP="009C63DF">
            <w:pPr>
              <w:jc w:val="center"/>
              <w:rPr>
                <w:rFonts w:ascii="Calibri" w:hAnsi="Calibri"/>
                <w:color w:val="000000"/>
              </w:rPr>
            </w:pPr>
            <w:r>
              <w:rPr>
                <w:rFonts w:ascii="Calibri" w:hAnsi="Calibri"/>
                <w:color w:val="000000"/>
              </w:rPr>
              <w:t>2.26, 5.41</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1.32*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1.06, 1.64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7.92</w:t>
            </w:r>
          </w:p>
        </w:tc>
        <w:tc>
          <w:tcPr>
            <w:tcW w:w="155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4.80, 21.23</w:t>
            </w: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Neglected/underfed appearance (7-11y)</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1.48</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0.80, 2.73</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1.35</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0.91, 2.00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c>
          <w:tcPr>
            <w:tcW w:w="155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Maternal absence</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0.92</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0.48, 1.74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0.96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0.68, 1.36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c>
          <w:tcPr>
            <w:tcW w:w="155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 xml:space="preserve">Paternal absence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2.03***</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1.43, 2.90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3.50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2.17, 7.04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1.28*</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1.02, 1.59</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8.67</w:t>
            </w:r>
          </w:p>
        </w:tc>
        <w:tc>
          <w:tcPr>
            <w:tcW w:w="155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-0.35, 38.36</w:t>
            </w: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 xml:space="preserve">In care </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1.94*</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1.11, 3.37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7.88</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-0.46, 29.54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1.41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0.97, 2.05</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c>
          <w:tcPr>
            <w:tcW w:w="155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Divorce of parents by age 16</w:t>
            </w:r>
            <w:r>
              <w:rPr>
                <w:vertAlign w:val="superscript"/>
              </w:rP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1.70**</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1.16, 2.50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8.17</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3.9, 35.34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1.23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0.96, 1.57</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c>
          <w:tcPr>
            <w:tcW w:w="155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Parental physical abuse</w:t>
            </w:r>
            <w:r>
              <w:rPr>
                <w:vertAlign w:val="superscript"/>
              </w:rPr>
              <w:t>2</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2.61***</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1.74, 3.90</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8.55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4.88, 18.61</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2.40***</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1.88, 3.06</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8.10</w:t>
            </w:r>
          </w:p>
        </w:tc>
        <w:tc>
          <w:tcPr>
            <w:tcW w:w="155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5.83, 12.20</w:t>
            </w: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Parental sexual abuse</w:t>
            </w:r>
            <w:r>
              <w:rPr>
                <w:vertAlign w:val="superscript"/>
              </w:rPr>
              <w:t>2</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3.08***</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1.68, 5.64</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8.63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3.85, 31.29</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2.66***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1.77, 3.99</w:t>
            </w: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7.86</w:t>
            </w:r>
          </w:p>
        </w:tc>
        <w:tc>
          <w:tcPr>
            <w:tcW w:w="1558"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color w:val="000000"/>
              </w:rPr>
              <w:t>4.87, 15.28</w:t>
            </w: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Cumulative adversity scale</w:t>
            </w:r>
            <w:r>
              <w:rPr>
                <w:sz w:val="18"/>
                <w:szCs w:val="18"/>
              </w:rPr>
              <w:t xml:space="preserve">        </w:t>
            </w:r>
            <w:r>
              <w:t>1</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1.75*</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1.08, 2.84</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1.36*</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1.05, 1.76</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558"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                               2</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2.39***</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1.42, 4.02</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1.44*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1.08, 1.92</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558"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r>
      <w:tr w:rsidR="009A3839" w:rsidTr="009C63DF">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right"/>
              <w:rPr>
                <w:rFonts w:ascii="Calibri" w:hAnsi="Calibri"/>
              </w:rPr>
            </w:pPr>
            <w:r>
              <w:t>3 or more</w:t>
            </w:r>
          </w:p>
        </w:tc>
        <w:tc>
          <w:tcPr>
            <w:tcW w:w="993"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3.79***</w:t>
            </w:r>
          </w:p>
        </w:tc>
        <w:tc>
          <w:tcPr>
            <w:tcW w:w="1135"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2.33, 6.15</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1.94***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9A3839" w:rsidRDefault="009A3839" w:rsidP="009C63DF">
            <w:pPr>
              <w:jc w:val="center"/>
              <w:rPr>
                <w:rFonts w:ascii="Calibri" w:hAnsi="Calibri"/>
              </w:rPr>
            </w:pPr>
            <w:r>
              <w:rPr>
                <w:rFonts w:ascii="Calibri" w:hAnsi="Calibri"/>
              </w:rPr>
              <w:t>1.47, 2.56</w:t>
            </w: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c>
          <w:tcPr>
            <w:tcW w:w="1558" w:type="dxa"/>
            <w:tcBorders>
              <w:top w:val="nil"/>
              <w:left w:val="nil"/>
              <w:bottom w:val="single" w:sz="8" w:space="0" w:color="000000"/>
              <w:right w:val="single" w:sz="8" w:space="0" w:color="000000"/>
            </w:tcBorders>
            <w:tcMar>
              <w:top w:w="0" w:type="dxa"/>
              <w:left w:w="108" w:type="dxa"/>
              <w:bottom w:w="0" w:type="dxa"/>
              <w:right w:w="108" w:type="dxa"/>
            </w:tcMar>
          </w:tcPr>
          <w:p w:rsidR="009A3839" w:rsidRDefault="009A3839" w:rsidP="009C63DF">
            <w:pPr>
              <w:jc w:val="center"/>
              <w:rPr>
                <w:rFonts w:ascii="Calibri" w:hAnsi="Calibri"/>
              </w:rPr>
            </w:pPr>
          </w:p>
        </w:tc>
      </w:tr>
      <w:tr w:rsidR="009A3839" w:rsidTr="009C63DF">
        <w:tc>
          <w:tcPr>
            <w:tcW w:w="11307" w:type="dxa"/>
            <w:gridSpan w:val="9"/>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A3839" w:rsidRDefault="009A3839" w:rsidP="009C63DF">
            <w:pPr>
              <w:jc w:val="center"/>
              <w:rPr>
                <w:rFonts w:ascii="Calibri" w:hAnsi="Calibri"/>
              </w:rPr>
            </w:pPr>
            <w:r>
              <w:t xml:space="preserve">*p≤0.05, **p≤0.01, ***p≤0.001, </w:t>
            </w:r>
            <w:r>
              <w:rPr>
                <w:vertAlign w:val="superscript"/>
              </w:rPr>
              <w:t xml:space="preserve">1 </w:t>
            </w:r>
            <w:r>
              <w:t>reported at 33y and</w:t>
            </w:r>
            <w:r>
              <w:rPr>
                <w:vertAlign w:val="superscript"/>
              </w:rPr>
              <w:t xml:space="preserve"> 2 </w:t>
            </w:r>
            <w:r>
              <w:t>reported at 45y.</w:t>
            </w:r>
          </w:p>
        </w:tc>
      </w:tr>
    </w:tbl>
    <w:p w:rsidR="009A3839" w:rsidRDefault="009A3839" w:rsidP="009A3839">
      <w:pPr>
        <w:rPr>
          <w:rFonts w:ascii="Calibri" w:hAnsi="Calibri"/>
        </w:rPr>
      </w:pPr>
    </w:p>
    <w:p w:rsidR="009A3839" w:rsidRDefault="009A3839" w:rsidP="009A3839">
      <w:pPr>
        <w:rPr>
          <w:b/>
        </w:rPr>
      </w:pPr>
    </w:p>
    <w:p w:rsidR="009A3839" w:rsidRPr="00393ACD" w:rsidRDefault="009A3839" w:rsidP="009A3839">
      <w:bookmarkStart w:id="0" w:name="_GoBack"/>
      <w:bookmarkEnd w:id="0"/>
    </w:p>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Pr="00393ACD" w:rsidRDefault="009A3839" w:rsidP="009A3839"/>
    <w:p w:rsidR="009A3839" w:rsidRDefault="009A3839" w:rsidP="009A3839"/>
    <w:p w:rsidR="009A3839" w:rsidRDefault="009A3839" w:rsidP="009A3839"/>
    <w:p w:rsidR="009A3839" w:rsidRPr="00393ACD" w:rsidRDefault="009A3839" w:rsidP="009A3839">
      <w:pPr>
        <w:spacing w:line="240" w:lineRule="auto"/>
        <w:ind w:left="-284"/>
      </w:pPr>
      <w:r>
        <w:rPr>
          <w:b/>
        </w:rPr>
        <w:t>A</w:t>
      </w:r>
      <w:r w:rsidRPr="004533CF">
        <w:rPr>
          <w:b/>
        </w:rPr>
        <w:t xml:space="preserve">djusted for gender, social class at 42y, qualifications at 33y, life events at 45y, number of partnerships in adulthood, number of periods of unemployment in adulthood, emotional support at 42y, problem drinking at 33y or 42y, and long standing illness at 42y </w:t>
      </w:r>
    </w:p>
    <w:p w:rsidR="003E19E3" w:rsidRDefault="004B5406"/>
    <w:sectPr w:rsidR="003E19E3" w:rsidSect="0020332A">
      <w:pgSz w:w="16838" w:h="11906" w:orient="landscape"/>
      <w:pgMar w:top="567" w:right="720" w:bottom="56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39"/>
    <w:rsid w:val="004B5406"/>
    <w:rsid w:val="009A3839"/>
    <w:rsid w:val="00AB1DA0"/>
    <w:rsid w:val="00C73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478F59-AD25-4716-9A94-15767B5B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3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Stansfeld</dc:creator>
  <cp:lastModifiedBy>SARAVANAN S</cp:lastModifiedBy>
  <cp:revision>2</cp:revision>
  <dcterms:created xsi:type="dcterms:W3CDTF">2016-06-22T10:22:00Z</dcterms:created>
  <dcterms:modified xsi:type="dcterms:W3CDTF">2016-10-14T13:09:00Z</dcterms:modified>
</cp:coreProperties>
</file>