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643"/>
        <w:gridCol w:w="1702"/>
        <w:gridCol w:w="2666"/>
        <w:gridCol w:w="741"/>
        <w:gridCol w:w="731"/>
        <w:gridCol w:w="770"/>
        <w:gridCol w:w="770"/>
        <w:gridCol w:w="959"/>
      </w:tblGrid>
      <w:tr w:rsidR="00BF1FCD" w:rsidRPr="00D433C5" w:rsidTr="00BF1FCD">
        <w:trPr>
          <w:trHeight w:val="22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92E42" w:rsidP="0098703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bookmarkStart w:id="0" w:name="RANGE!B1:I29"/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Appendix t</w:t>
            </w:r>
            <w:r w:rsidR="00BF1FCD"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 xml:space="preserve">able 1. World Mental Health </w:t>
            </w:r>
            <w:r w:rsidR="00B40C1E"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 xml:space="preserve">Surveys </w:t>
            </w:r>
            <w:r w:rsidR="00BF1FCD"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sample characteristics by World Bank Income categories</w:t>
            </w:r>
            <w:r w:rsidR="00BF1FCD"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vertAlign w:val="superscript"/>
                <w:lang w:val="en-NZ"/>
              </w:rPr>
              <w:t>a</w:t>
            </w:r>
            <w:r w:rsidR="00BF1FCD"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.</w:t>
            </w:r>
            <w:bookmarkEnd w:id="0"/>
          </w:p>
        </w:tc>
      </w:tr>
      <w:tr w:rsidR="00BF1FCD" w:rsidRPr="00D433C5" w:rsidTr="00BF1FCD">
        <w:trPr>
          <w:trHeight w:val="227"/>
        </w:trPr>
        <w:tc>
          <w:tcPr>
            <w:tcW w:w="1164" w:type="pct"/>
            <w:vMerge w:val="restar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B40C1E">
            <w:pPr>
              <w:ind w:firstLineChars="200" w:firstLine="361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Country</w:t>
            </w:r>
          </w:p>
        </w:tc>
        <w:tc>
          <w:tcPr>
            <w:tcW w:w="764" w:type="pct"/>
            <w:vMerge w:val="restart"/>
            <w:tcBorders>
              <w:top w:val="single" w:sz="8" w:space="0" w:color="003399"/>
              <w:left w:val="nil"/>
              <w:bottom w:val="single" w:sz="8" w:space="0" w:color="003399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Survey</w:t>
            </w:r>
          </w:p>
        </w:tc>
        <w:tc>
          <w:tcPr>
            <w:tcW w:w="1308" w:type="pct"/>
            <w:vMerge w:val="restart"/>
            <w:tcBorders>
              <w:top w:val="single" w:sz="8" w:space="0" w:color="003399"/>
              <w:left w:val="nil"/>
              <w:bottom w:val="single" w:sz="8" w:space="0" w:color="003399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Sample characteristics</w:t>
            </w:r>
          </w:p>
        </w:tc>
        <w:tc>
          <w:tcPr>
            <w:tcW w:w="362" w:type="pct"/>
            <w:vMerge w:val="restart"/>
            <w:tcBorders>
              <w:top w:val="single" w:sz="8" w:space="0" w:color="003399"/>
              <w:left w:val="nil"/>
              <w:bottom w:val="single" w:sz="8" w:space="0" w:color="003399"/>
              <w:right w:val="nil"/>
            </w:tcBorders>
            <w:shd w:val="clear" w:color="000000" w:fill="FFFFFF"/>
            <w:vAlign w:val="center"/>
            <w:hideMark/>
          </w:tcPr>
          <w:p w:rsidR="00BF1FCD" w:rsidRPr="00D433C5" w:rsidRDefault="00BF1FCD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Field  dates</w:t>
            </w:r>
          </w:p>
        </w:tc>
        <w:tc>
          <w:tcPr>
            <w:tcW w:w="333" w:type="pct"/>
            <w:vMerge w:val="restart"/>
            <w:tcBorders>
              <w:top w:val="single" w:sz="8" w:space="0" w:color="003399"/>
              <w:left w:val="nil"/>
              <w:bottom w:val="single" w:sz="8" w:space="0" w:color="003399"/>
              <w:right w:val="nil"/>
            </w:tcBorders>
            <w:shd w:val="clear" w:color="000000" w:fill="FFFFFF"/>
            <w:vAlign w:val="center"/>
            <w:hideMark/>
          </w:tcPr>
          <w:p w:rsidR="00BF1FCD" w:rsidRPr="00D433C5" w:rsidRDefault="00BF1FCD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Age     range</w:t>
            </w: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vertAlign w:val="superscript"/>
                <w:lang w:val="en-NZ"/>
              </w:rPr>
              <w:t>b</w:t>
            </w:r>
          </w:p>
        </w:tc>
        <w:tc>
          <w:tcPr>
            <w:tcW w:w="668" w:type="pct"/>
            <w:gridSpan w:val="2"/>
            <w:tcBorders>
              <w:top w:val="single" w:sz="8" w:space="0" w:color="003399"/>
              <w:left w:val="nil"/>
              <w:bottom w:val="single" w:sz="4" w:space="0" w:color="003399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 xml:space="preserve">Sample Size </w:t>
            </w:r>
          </w:p>
        </w:tc>
        <w:tc>
          <w:tcPr>
            <w:tcW w:w="400" w:type="pct"/>
            <w:vMerge w:val="restart"/>
            <w:tcBorders>
              <w:top w:val="single" w:sz="8" w:space="0" w:color="003399"/>
              <w:left w:val="nil"/>
              <w:bottom w:val="single" w:sz="8" w:space="0" w:color="003399"/>
              <w:right w:val="single" w:sz="8" w:space="0" w:color="003399"/>
            </w:tcBorders>
            <w:shd w:val="clear" w:color="000000" w:fill="FFFFFF"/>
            <w:vAlign w:val="center"/>
            <w:hideMark/>
          </w:tcPr>
          <w:p w:rsidR="00BF1FCD" w:rsidRPr="00D433C5" w:rsidRDefault="00BF1FCD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Response rate (%)</w:t>
            </w:r>
          </w:p>
        </w:tc>
      </w:tr>
      <w:tr w:rsidR="00BF1FCD" w:rsidRPr="00D433C5" w:rsidTr="00BF1FCD">
        <w:trPr>
          <w:trHeight w:val="227"/>
        </w:trPr>
        <w:tc>
          <w:tcPr>
            <w:tcW w:w="1164" w:type="pct"/>
            <w:vMerge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nil"/>
            </w:tcBorders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</w:p>
        </w:tc>
        <w:tc>
          <w:tcPr>
            <w:tcW w:w="764" w:type="pct"/>
            <w:vMerge/>
            <w:tcBorders>
              <w:top w:val="single" w:sz="8" w:space="0" w:color="003399"/>
              <w:left w:val="nil"/>
              <w:bottom w:val="single" w:sz="8" w:space="0" w:color="003399"/>
              <w:right w:val="nil"/>
            </w:tcBorders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</w:p>
        </w:tc>
        <w:tc>
          <w:tcPr>
            <w:tcW w:w="1308" w:type="pct"/>
            <w:vMerge/>
            <w:tcBorders>
              <w:top w:val="single" w:sz="8" w:space="0" w:color="003399"/>
              <w:left w:val="nil"/>
              <w:bottom w:val="single" w:sz="8" w:space="0" w:color="003399"/>
              <w:right w:val="nil"/>
            </w:tcBorders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</w:p>
        </w:tc>
        <w:tc>
          <w:tcPr>
            <w:tcW w:w="362" w:type="pct"/>
            <w:vMerge/>
            <w:tcBorders>
              <w:top w:val="single" w:sz="8" w:space="0" w:color="003399"/>
              <w:left w:val="nil"/>
              <w:bottom w:val="single" w:sz="8" w:space="0" w:color="003399"/>
              <w:right w:val="nil"/>
            </w:tcBorders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</w:p>
        </w:tc>
        <w:tc>
          <w:tcPr>
            <w:tcW w:w="333" w:type="pct"/>
            <w:vMerge/>
            <w:tcBorders>
              <w:top w:val="single" w:sz="8" w:space="0" w:color="003399"/>
              <w:left w:val="nil"/>
              <w:bottom w:val="single" w:sz="8" w:space="0" w:color="003399"/>
              <w:right w:val="nil"/>
            </w:tcBorders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3399"/>
              <w:right w:val="nil"/>
            </w:tcBorders>
            <w:shd w:val="clear" w:color="000000" w:fill="FFFFFF"/>
            <w:vAlign w:val="center"/>
            <w:hideMark/>
          </w:tcPr>
          <w:p w:rsidR="00BF1FCD" w:rsidRPr="00D433C5" w:rsidRDefault="00BF1FCD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Part 1 sample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3399"/>
              <w:right w:val="nil"/>
            </w:tcBorders>
            <w:shd w:val="clear" w:color="000000" w:fill="FFFFFF"/>
            <w:vAlign w:val="center"/>
            <w:hideMark/>
          </w:tcPr>
          <w:p w:rsidR="00BF1FCD" w:rsidRPr="00D433C5" w:rsidRDefault="00BF1FCD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Part 2                                      sub-sample</w:t>
            </w:r>
          </w:p>
        </w:tc>
        <w:tc>
          <w:tcPr>
            <w:tcW w:w="400" w:type="pct"/>
            <w:vMerge/>
            <w:tcBorders>
              <w:top w:val="single" w:sz="8" w:space="0" w:color="003399"/>
              <w:left w:val="nil"/>
              <w:bottom w:val="single" w:sz="8" w:space="0" w:color="003399"/>
              <w:right w:val="single" w:sz="8" w:space="0" w:color="003399"/>
            </w:tcBorders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</w:p>
        </w:tc>
      </w:tr>
      <w:tr w:rsidR="00BF1FCD" w:rsidRPr="00D433C5" w:rsidTr="00BF1FCD">
        <w:trPr>
          <w:trHeight w:val="227"/>
        </w:trPr>
        <w:tc>
          <w:tcPr>
            <w:tcW w:w="1928" w:type="pct"/>
            <w:gridSpan w:val="2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Low - lower middle income countries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1FCD" w:rsidRPr="00D433C5" w:rsidRDefault="00BF1FCD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vAlign w:val="center"/>
            <w:hideMark/>
          </w:tcPr>
          <w:p w:rsidR="00BF1FCD" w:rsidRPr="00D433C5" w:rsidRDefault="00BF1FCD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</w:tr>
      <w:tr w:rsidR="00BF1FCD" w:rsidRPr="00D433C5" w:rsidTr="00BF1FCD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Colombia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NSMH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All urban areas of the country (approximately 73% of the total national population)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2003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18-65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4426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2381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87.7</w:t>
            </w:r>
          </w:p>
        </w:tc>
      </w:tr>
      <w:tr w:rsidR="00BF1FCD" w:rsidRPr="00D433C5" w:rsidTr="00BF1FCD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Iraq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IMHS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Nationally representative.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2006-7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BF1FCD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4332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4332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95.2</w:t>
            </w:r>
          </w:p>
        </w:tc>
      </w:tr>
      <w:tr w:rsidR="00BF1FCD" w:rsidRPr="00D433C5" w:rsidTr="00BF1FCD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Nigeria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NSMHW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 xml:space="preserve">21 of the 36 states in the country, representing 57% of the national population. The surveys were conducted in Yoruba, Igbo, </w:t>
            </w:r>
            <w:proofErr w:type="gramStart"/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Hausa</w:t>
            </w:r>
            <w:proofErr w:type="gramEnd"/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 xml:space="preserve"> and Efik languages.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2002-3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BF1FCD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6752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2143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79.3</w:t>
            </w:r>
          </w:p>
        </w:tc>
      </w:tr>
      <w:tr w:rsidR="00BF1FCD" w:rsidRPr="00D433C5" w:rsidTr="00BF1FCD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Peru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EMSMP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Nationally representative.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2004-5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18-65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3930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90.2</w:t>
            </w:r>
          </w:p>
        </w:tc>
      </w:tr>
      <w:tr w:rsidR="00BF1FCD" w:rsidRPr="00D433C5" w:rsidTr="00BF1FCD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PRC Beijing/Shanghai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B-WMH                         S-WMH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Beijing and Shanghai metropolitan areas.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2002-3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BF1FCD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5201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1628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74.7</w:t>
            </w:r>
          </w:p>
        </w:tc>
      </w:tr>
      <w:tr w:rsidR="00BF1FCD" w:rsidRPr="00D433C5" w:rsidTr="00BF1FCD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PRC Shen Zhen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Shenzhen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Shenzhen metropolitan area. Included temporary residents as well as household residents.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2006-7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BF1FCD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7132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2475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80.0</w:t>
            </w:r>
          </w:p>
        </w:tc>
      </w:tr>
      <w:tr w:rsidR="00BF1FCD" w:rsidRPr="00D433C5" w:rsidTr="00BF1FCD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Ukraine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CMDPSD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Nationally representative.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2002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BF1FCD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4725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1719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78.3</w:t>
            </w:r>
          </w:p>
        </w:tc>
      </w:tr>
      <w:tr w:rsidR="00BF1FCD" w:rsidRPr="00D433C5" w:rsidTr="00BF1FCD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BF1FCD">
            <w:pPr>
              <w:ind w:firstLineChars="100" w:firstLine="180"/>
              <w:jc w:val="center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</w:tr>
      <w:tr w:rsidR="00BF1FCD" w:rsidRPr="00D433C5" w:rsidTr="00BF1FCD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Upper-middle income countries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B40C1E">
            <w:pPr>
              <w:ind w:firstLineChars="100" w:firstLine="181"/>
              <w:jc w:val="right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</w:tr>
      <w:tr w:rsidR="00BF1FCD" w:rsidRPr="00D433C5" w:rsidTr="00BF1FCD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Brazil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São Paulo Megacity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São Paulo metropolitan area.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2005-7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BF1FCD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5037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2942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81.3</w:t>
            </w:r>
          </w:p>
        </w:tc>
      </w:tr>
      <w:tr w:rsidR="00BF1FCD" w:rsidRPr="00D433C5" w:rsidTr="00BF1FCD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Bulgaria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NSHS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Nationally representative.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2003-7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BF1FCD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5318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2233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72.0</w:t>
            </w:r>
          </w:p>
        </w:tc>
      </w:tr>
      <w:tr w:rsidR="00BF1FCD" w:rsidRPr="00D433C5" w:rsidTr="00BF1FCD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Lebanon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LEBANON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Nationally representative.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2002-3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BF1FCD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2857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1031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70.0</w:t>
            </w:r>
          </w:p>
        </w:tc>
      </w:tr>
      <w:tr w:rsidR="00BF1FCD" w:rsidRPr="00D433C5" w:rsidTr="00BF1FCD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Romania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RMHS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Nationally representative.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2005-6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BF1FCD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2357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2357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70.9</w:t>
            </w:r>
          </w:p>
        </w:tc>
      </w:tr>
      <w:tr w:rsidR="00BF1FCD" w:rsidRPr="00D433C5" w:rsidTr="00BF1FCD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South Africa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SASH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Nationally representative.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2003-4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BF1FCD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4315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4315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87.1</w:t>
            </w:r>
          </w:p>
        </w:tc>
      </w:tr>
      <w:tr w:rsidR="00BF1FCD" w:rsidRPr="00D433C5" w:rsidTr="00BF1FCD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ind w:firstLineChars="100" w:firstLine="180"/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</w:tr>
      <w:tr w:rsidR="00BF1FCD" w:rsidRPr="00D433C5" w:rsidTr="00BF1FCD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High-income countries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B40C1E">
            <w:pPr>
              <w:ind w:firstLineChars="100" w:firstLine="181"/>
              <w:jc w:val="right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</w:tr>
      <w:tr w:rsidR="00BF1FCD" w:rsidRPr="00D433C5" w:rsidTr="00BF1FCD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Japan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 xml:space="preserve">WMHJ  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 xml:space="preserve">Eleven metropolitan areas.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2002-6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BF1FCD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4129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1682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55.1</w:t>
            </w:r>
          </w:p>
        </w:tc>
      </w:tr>
      <w:tr w:rsidR="00BF1FCD" w:rsidRPr="00D433C5" w:rsidTr="00BF1FCD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Northern Ireland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NISHS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Nationally representative.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2004-7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BF1FCD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4340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1986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68.4</w:t>
            </w:r>
          </w:p>
        </w:tc>
      </w:tr>
      <w:tr w:rsidR="00BF1FCD" w:rsidRPr="00D433C5" w:rsidTr="00BF1FCD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Poland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EZOP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Nationally representative.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2010-11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18-64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10081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4000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50.4</w:t>
            </w:r>
          </w:p>
        </w:tc>
      </w:tr>
      <w:tr w:rsidR="00BF1FCD" w:rsidRPr="00D433C5" w:rsidTr="00BF1FCD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Portugal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NMHS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Nationally representative.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2008-9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BF1FCD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3849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57.3</w:t>
            </w:r>
          </w:p>
        </w:tc>
      </w:tr>
      <w:tr w:rsidR="00BF1FCD" w:rsidRPr="00D433C5" w:rsidTr="00BF1FCD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The United States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NCS-R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Nationally representative.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2002-3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BF1FCD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9282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5692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70.9</w:t>
            </w:r>
          </w:p>
        </w:tc>
      </w:tr>
      <w:tr w:rsidR="00BF1FCD" w:rsidRPr="00D433C5" w:rsidTr="00BF1FCD">
        <w:trPr>
          <w:trHeight w:val="227"/>
        </w:trPr>
        <w:tc>
          <w:tcPr>
            <w:tcW w:w="1164" w:type="pct"/>
            <w:tcBorders>
              <w:top w:val="single" w:sz="8" w:space="0" w:color="003399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 xml:space="preserve">Total </w:t>
            </w:r>
          </w:p>
        </w:tc>
        <w:tc>
          <w:tcPr>
            <w:tcW w:w="764" w:type="pct"/>
            <w:tcBorders>
              <w:top w:val="single" w:sz="8" w:space="0" w:color="00339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1308" w:type="pct"/>
            <w:tcBorders>
              <w:top w:val="single" w:sz="8" w:space="0" w:color="00339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62" w:type="pct"/>
            <w:tcBorders>
              <w:top w:val="single" w:sz="8" w:space="0" w:color="00339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3" w:type="pct"/>
            <w:tcBorders>
              <w:top w:val="single" w:sz="8" w:space="0" w:color="00339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4" w:type="pct"/>
            <w:tcBorders>
              <w:top w:val="single" w:sz="8" w:space="0" w:color="00339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88063</w:t>
            </w:r>
          </w:p>
        </w:tc>
        <w:tc>
          <w:tcPr>
            <w:tcW w:w="334" w:type="pct"/>
            <w:tcBorders>
              <w:top w:val="single" w:sz="8" w:space="0" w:color="00339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44777</w:t>
            </w:r>
          </w:p>
        </w:tc>
        <w:tc>
          <w:tcPr>
            <w:tcW w:w="400" w:type="pct"/>
            <w:tcBorders>
              <w:top w:val="single" w:sz="8" w:space="0" w:color="003399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</w:tr>
      <w:tr w:rsidR="00BF1FCD" w:rsidRPr="00D433C5" w:rsidTr="00BF1FCD">
        <w:trPr>
          <w:trHeight w:val="227"/>
        </w:trPr>
        <w:tc>
          <w:tcPr>
            <w:tcW w:w="1928" w:type="pct"/>
            <w:gridSpan w:val="2"/>
            <w:tcBorders>
              <w:top w:val="nil"/>
              <w:left w:val="single" w:sz="8" w:space="0" w:color="003399"/>
              <w:bottom w:val="single" w:sz="8" w:space="0" w:color="003399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Weighted average response rate (%)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003399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3399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3399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3399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3399"/>
              <w:right w:val="nil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3399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:rsidR="00BF1FCD" w:rsidRPr="00D433C5" w:rsidRDefault="00BF1FCD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71.0</w:t>
            </w:r>
          </w:p>
        </w:tc>
      </w:tr>
      <w:tr w:rsidR="00BF1FCD" w:rsidRPr="00D433C5" w:rsidTr="00BF1FCD">
        <w:trPr>
          <w:trHeight w:val="22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proofErr w:type="gramStart"/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vertAlign w:val="superscript"/>
                <w:lang w:val="en-NZ"/>
              </w:rPr>
              <w:t>a</w:t>
            </w:r>
            <w:proofErr w:type="gramEnd"/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 xml:space="preserve"> The World Bank. (2008). Data and Statistics. Accessed May 12, 2009 at: http://go.worldbank.org/D7SN0B8YU0</w:t>
            </w:r>
          </w:p>
        </w:tc>
      </w:tr>
      <w:tr w:rsidR="00BF1FCD" w:rsidRPr="00D433C5" w:rsidTr="00BF1FCD">
        <w:trPr>
          <w:trHeight w:val="22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1FCD" w:rsidRPr="00D433C5" w:rsidRDefault="00BF1FCD" w:rsidP="0098703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proofErr w:type="gramStart"/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vertAlign w:val="superscript"/>
                <w:lang w:val="en-NZ"/>
              </w:rPr>
              <w:t>b</w:t>
            </w: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For</w:t>
            </w:r>
            <w:proofErr w:type="gramEnd"/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 xml:space="preserve"> the purposes of cross-national comparisons we limit the sample to those 18+.</w:t>
            </w:r>
          </w:p>
        </w:tc>
      </w:tr>
    </w:tbl>
    <w:p w:rsidR="00BF1FCD" w:rsidRDefault="00BF1FCD">
      <w:pPr>
        <w:sectPr w:rsidR="00BF1FCD" w:rsidSect="00BF1FCD">
          <w:pgSz w:w="11900" w:h="16840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443"/>
        <w:tblW w:w="4696" w:type="pct"/>
        <w:tblLayout w:type="fixed"/>
        <w:tblLook w:val="04A0" w:firstRow="1" w:lastRow="0" w:firstColumn="1" w:lastColumn="0" w:noHBand="0" w:noVBand="1"/>
      </w:tblPr>
      <w:tblGrid>
        <w:gridCol w:w="3425"/>
        <w:gridCol w:w="382"/>
        <w:gridCol w:w="410"/>
        <w:gridCol w:w="425"/>
        <w:gridCol w:w="425"/>
        <w:gridCol w:w="425"/>
        <w:gridCol w:w="425"/>
        <w:gridCol w:w="425"/>
        <w:gridCol w:w="427"/>
        <w:gridCol w:w="565"/>
        <w:gridCol w:w="710"/>
        <w:gridCol w:w="565"/>
        <w:gridCol w:w="132"/>
        <w:gridCol w:w="236"/>
        <w:gridCol w:w="198"/>
        <w:gridCol w:w="39"/>
        <w:gridCol w:w="236"/>
        <w:gridCol w:w="297"/>
        <w:gridCol w:w="567"/>
      </w:tblGrid>
      <w:tr w:rsidR="00987031" w:rsidRPr="00D433C5" w:rsidTr="00D433C5">
        <w:trPr>
          <w:trHeight w:val="49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lastRenderedPageBreak/>
              <w:t>Appendix table 2.  Age at selected percentiles on the standardized age of onset distributions of DSM-IV intermittent explosive disorder (IED) with projected lifetime risk at age 75.</w:t>
            </w:r>
          </w:p>
        </w:tc>
      </w:tr>
      <w:tr w:rsidR="00987031" w:rsidRPr="00D433C5" w:rsidTr="00D433C5">
        <w:trPr>
          <w:trHeight w:val="780"/>
        </w:trPr>
        <w:tc>
          <w:tcPr>
            <w:tcW w:w="1661" w:type="pct"/>
            <w:vMerge w:val="restart"/>
            <w:tcBorders>
              <w:top w:val="single" w:sz="8" w:space="0" w:color="244062"/>
              <w:left w:val="single" w:sz="8" w:space="0" w:color="244062"/>
              <w:bottom w:val="single" w:sz="8" w:space="0" w:color="244062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Country</w:t>
            </w:r>
          </w:p>
        </w:tc>
        <w:tc>
          <w:tcPr>
            <w:tcW w:w="1621" w:type="pct"/>
            <w:gridSpan w:val="8"/>
            <w:tcBorders>
              <w:top w:val="single" w:sz="8" w:space="0" w:color="244062"/>
              <w:left w:val="nil"/>
              <w:bottom w:val="single" w:sz="8" w:space="0" w:color="244062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Ages at selected percentiles</w:t>
            </w:r>
          </w:p>
        </w:tc>
        <w:tc>
          <w:tcPr>
            <w:tcW w:w="274" w:type="pct"/>
            <w:tcBorders>
              <w:top w:val="single" w:sz="8" w:space="0" w:color="244062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8" w:space="0" w:color="244062"/>
              <w:left w:val="nil"/>
              <w:bottom w:val="single" w:sz="8" w:space="0" w:color="244062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Lifetime prevalence of IED</w:t>
            </w:r>
          </w:p>
        </w:tc>
        <w:tc>
          <w:tcPr>
            <w:tcW w:w="274" w:type="pct"/>
            <w:gridSpan w:val="3"/>
            <w:tcBorders>
              <w:top w:val="single" w:sz="8" w:space="0" w:color="244062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51" w:type="pct"/>
            <w:gridSpan w:val="4"/>
            <w:tcBorders>
              <w:top w:val="single" w:sz="8" w:space="0" w:color="244062"/>
              <w:left w:val="nil"/>
              <w:bottom w:val="single" w:sz="8" w:space="0" w:color="244062"/>
              <w:right w:val="single" w:sz="8" w:space="0" w:color="244062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Projected risk at age 75</w:t>
            </w:r>
          </w:p>
        </w:tc>
      </w:tr>
      <w:tr w:rsidR="00D433C5" w:rsidRPr="00D433C5" w:rsidTr="00D433C5">
        <w:trPr>
          <w:trHeight w:val="270"/>
        </w:trPr>
        <w:tc>
          <w:tcPr>
            <w:tcW w:w="1661" w:type="pct"/>
            <w:vMerge/>
            <w:tcBorders>
              <w:top w:val="single" w:sz="8" w:space="0" w:color="244062"/>
              <w:left w:val="single" w:sz="8" w:space="0" w:color="244062"/>
              <w:bottom w:val="single" w:sz="8" w:space="0" w:color="244062"/>
              <w:right w:val="nil"/>
            </w:tcBorders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25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75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90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95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99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SE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244062"/>
              <w:right w:val="single" w:sz="8" w:space="0" w:color="244062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SE</w:t>
            </w:r>
          </w:p>
        </w:tc>
      </w:tr>
      <w:tr w:rsidR="00D433C5" w:rsidRPr="00D433C5" w:rsidTr="00D433C5">
        <w:trPr>
          <w:trHeight w:val="235"/>
        </w:trPr>
        <w:tc>
          <w:tcPr>
            <w:tcW w:w="1661" w:type="pct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Low-Lower middle income countries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31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51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61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61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D433C5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0.1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0.1</w:t>
            </w:r>
          </w:p>
        </w:tc>
      </w:tr>
      <w:tr w:rsidR="00D433C5" w:rsidRPr="00D433C5" w:rsidTr="00D433C5">
        <w:trPr>
          <w:trHeight w:val="300"/>
        </w:trPr>
        <w:tc>
          <w:tcPr>
            <w:tcW w:w="1661" w:type="pct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proofErr w:type="spellStart"/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Colombia</w:t>
            </w: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vertAlign w:val="superscript"/>
                <w:lang w:val="en-AU" w:eastAsia="en-AU"/>
              </w:rPr>
              <w:t>a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21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51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61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61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61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1.2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0.2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1.7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0.4</w:t>
            </w:r>
          </w:p>
        </w:tc>
      </w:tr>
      <w:tr w:rsidR="00D433C5" w:rsidRPr="00D433C5" w:rsidTr="00D433C5">
        <w:trPr>
          <w:trHeight w:val="255"/>
        </w:trPr>
        <w:tc>
          <w:tcPr>
            <w:tcW w:w="1661" w:type="pct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Iraq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23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26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30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31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0.2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0.2</w:t>
            </w:r>
          </w:p>
        </w:tc>
      </w:tr>
      <w:tr w:rsidR="00D433C5" w:rsidRPr="00D433C5" w:rsidTr="00D433C5">
        <w:trPr>
          <w:trHeight w:val="255"/>
        </w:trPr>
        <w:tc>
          <w:tcPr>
            <w:tcW w:w="1661" w:type="pct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Nigeria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0.0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0.0</w:t>
            </w:r>
          </w:p>
        </w:tc>
      </w:tr>
      <w:tr w:rsidR="00D433C5" w:rsidRPr="00D433C5" w:rsidTr="00D433C5">
        <w:trPr>
          <w:trHeight w:val="300"/>
        </w:trPr>
        <w:tc>
          <w:tcPr>
            <w:tcW w:w="1661" w:type="pct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proofErr w:type="spellStart"/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Peru</w:t>
            </w: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vertAlign w:val="superscript"/>
                <w:lang w:val="en-AU" w:eastAsia="en-AU"/>
              </w:rPr>
              <w:t>a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27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38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48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48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48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0.2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0.3</w:t>
            </w:r>
          </w:p>
        </w:tc>
      </w:tr>
      <w:tr w:rsidR="00D433C5" w:rsidRPr="00D433C5" w:rsidTr="00D433C5">
        <w:trPr>
          <w:trHeight w:val="255"/>
        </w:trPr>
        <w:tc>
          <w:tcPr>
            <w:tcW w:w="1661" w:type="pct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PRC China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31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41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41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0.1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0.1</w:t>
            </w:r>
          </w:p>
        </w:tc>
      </w:tr>
      <w:tr w:rsidR="00D433C5" w:rsidRPr="00D433C5" w:rsidTr="00D433C5">
        <w:trPr>
          <w:trHeight w:val="255"/>
        </w:trPr>
        <w:tc>
          <w:tcPr>
            <w:tcW w:w="1661" w:type="pct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PRC Shen Zhen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29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34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36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0.1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0.2</w:t>
            </w:r>
          </w:p>
        </w:tc>
      </w:tr>
      <w:tr w:rsidR="00D433C5" w:rsidRPr="00D433C5" w:rsidTr="00D433C5">
        <w:trPr>
          <w:trHeight w:val="255"/>
        </w:trPr>
        <w:tc>
          <w:tcPr>
            <w:tcW w:w="1661" w:type="pct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Ukraine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27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51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61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61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1.1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0.2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1.3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0.2</w:t>
            </w:r>
          </w:p>
        </w:tc>
      </w:tr>
      <w:tr w:rsidR="00D433C5" w:rsidRPr="00D433C5" w:rsidTr="00D433C5">
        <w:trPr>
          <w:trHeight w:val="255"/>
        </w:trPr>
        <w:tc>
          <w:tcPr>
            <w:tcW w:w="1661" w:type="pct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</w:tr>
      <w:tr w:rsidR="00D433C5" w:rsidRPr="00D433C5" w:rsidTr="00D433C5">
        <w:trPr>
          <w:trHeight w:val="255"/>
        </w:trPr>
        <w:tc>
          <w:tcPr>
            <w:tcW w:w="1661" w:type="pct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Upper-middle income countries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26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40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47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56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D433C5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0.1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0.1</w:t>
            </w:r>
          </w:p>
        </w:tc>
      </w:tr>
      <w:tr w:rsidR="00D433C5" w:rsidRPr="00D433C5" w:rsidTr="00D433C5">
        <w:trPr>
          <w:trHeight w:val="255"/>
        </w:trPr>
        <w:tc>
          <w:tcPr>
            <w:tcW w:w="1661" w:type="pct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Brazil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24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43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47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47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0.1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0.1</w:t>
            </w:r>
          </w:p>
        </w:tc>
      </w:tr>
      <w:tr w:rsidR="00D433C5" w:rsidRPr="00D433C5" w:rsidTr="00D433C5">
        <w:trPr>
          <w:trHeight w:val="255"/>
        </w:trPr>
        <w:tc>
          <w:tcPr>
            <w:tcW w:w="1661" w:type="pct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Bulgaria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28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36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36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55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0.1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0.1</w:t>
            </w:r>
          </w:p>
        </w:tc>
      </w:tr>
      <w:tr w:rsidR="00D433C5" w:rsidRPr="00D433C5" w:rsidTr="00D433C5">
        <w:trPr>
          <w:trHeight w:val="255"/>
        </w:trPr>
        <w:tc>
          <w:tcPr>
            <w:tcW w:w="1661" w:type="pct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Lebanon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21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23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31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31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0.1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0.2</w:t>
            </w:r>
          </w:p>
        </w:tc>
      </w:tr>
      <w:tr w:rsidR="00D433C5" w:rsidRPr="00D433C5" w:rsidTr="00D433C5">
        <w:trPr>
          <w:trHeight w:val="255"/>
        </w:trPr>
        <w:tc>
          <w:tcPr>
            <w:tcW w:w="1661" w:type="pct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Romania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24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31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45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46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46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0.2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0.2</w:t>
            </w:r>
          </w:p>
        </w:tc>
      </w:tr>
      <w:tr w:rsidR="00D433C5" w:rsidRPr="00D433C5" w:rsidTr="00D433C5">
        <w:trPr>
          <w:trHeight w:val="255"/>
        </w:trPr>
        <w:tc>
          <w:tcPr>
            <w:tcW w:w="1661" w:type="pct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South Africa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22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40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56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56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57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1.2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0.3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1.7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0.5</w:t>
            </w:r>
          </w:p>
        </w:tc>
      </w:tr>
      <w:tr w:rsidR="00D433C5" w:rsidRPr="00D433C5" w:rsidTr="00D433C5">
        <w:trPr>
          <w:trHeight w:val="255"/>
        </w:trPr>
        <w:tc>
          <w:tcPr>
            <w:tcW w:w="1661" w:type="pct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</w:tr>
      <w:tr w:rsidR="00D433C5" w:rsidRPr="00D433C5" w:rsidTr="00D433C5">
        <w:trPr>
          <w:trHeight w:val="255"/>
        </w:trPr>
        <w:tc>
          <w:tcPr>
            <w:tcW w:w="1661" w:type="pct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High income countries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20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29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37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53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D433C5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0.1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0.1</w:t>
            </w:r>
          </w:p>
        </w:tc>
      </w:tr>
      <w:tr w:rsidR="00D433C5" w:rsidRPr="00D433C5" w:rsidTr="00D433C5">
        <w:trPr>
          <w:trHeight w:val="255"/>
        </w:trPr>
        <w:tc>
          <w:tcPr>
            <w:tcW w:w="1661" w:type="pct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Japan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27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41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54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54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0.1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0.1</w:t>
            </w:r>
          </w:p>
        </w:tc>
      </w:tr>
      <w:tr w:rsidR="00D433C5" w:rsidRPr="00D433C5" w:rsidTr="00D433C5">
        <w:trPr>
          <w:trHeight w:val="255"/>
        </w:trPr>
        <w:tc>
          <w:tcPr>
            <w:tcW w:w="1661" w:type="pct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Northern Ireland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26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31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35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41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1.1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0.2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1.3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0.2</w:t>
            </w:r>
          </w:p>
        </w:tc>
      </w:tr>
      <w:tr w:rsidR="00D433C5" w:rsidRPr="00D433C5" w:rsidTr="00D433C5">
        <w:trPr>
          <w:trHeight w:val="300"/>
        </w:trPr>
        <w:tc>
          <w:tcPr>
            <w:tcW w:w="1661" w:type="pct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proofErr w:type="spellStart"/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Poland</w:t>
            </w: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vertAlign w:val="superscript"/>
                <w:lang w:val="en-AU" w:eastAsia="en-AU"/>
              </w:rPr>
              <w:t>b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21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26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31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36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36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0.0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0.1</w:t>
            </w:r>
          </w:p>
        </w:tc>
      </w:tr>
      <w:tr w:rsidR="00D433C5" w:rsidRPr="00D433C5" w:rsidTr="00D433C5">
        <w:trPr>
          <w:trHeight w:val="255"/>
        </w:trPr>
        <w:tc>
          <w:tcPr>
            <w:tcW w:w="1661" w:type="pct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Portugal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37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49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53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53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0.1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0.2</w:t>
            </w:r>
          </w:p>
        </w:tc>
      </w:tr>
      <w:tr w:rsidR="00D433C5" w:rsidRPr="00D433C5" w:rsidTr="00D433C5">
        <w:trPr>
          <w:trHeight w:val="255"/>
        </w:trPr>
        <w:tc>
          <w:tcPr>
            <w:tcW w:w="1661" w:type="pct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The United States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23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28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40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2.7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0.2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3.0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0.2</w:t>
            </w:r>
          </w:p>
        </w:tc>
      </w:tr>
      <w:tr w:rsidR="00D433C5" w:rsidRPr="00D433C5" w:rsidTr="00D433C5">
        <w:trPr>
          <w:trHeight w:val="255"/>
        </w:trPr>
        <w:tc>
          <w:tcPr>
            <w:tcW w:w="1661" w:type="pct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</w:tr>
      <w:tr w:rsidR="00D433C5" w:rsidRPr="00D433C5" w:rsidTr="00D433C5">
        <w:trPr>
          <w:trHeight w:val="255"/>
        </w:trPr>
        <w:tc>
          <w:tcPr>
            <w:tcW w:w="1661" w:type="pct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All countries combined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23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38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49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61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D433C5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0.0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0.0</w:t>
            </w:r>
          </w:p>
        </w:tc>
      </w:tr>
      <w:tr w:rsidR="00D433C5" w:rsidRPr="00D433C5" w:rsidTr="00D433C5">
        <w:trPr>
          <w:trHeight w:val="255"/>
        </w:trPr>
        <w:tc>
          <w:tcPr>
            <w:tcW w:w="1661" w:type="pct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</w:tr>
      <w:tr w:rsidR="00D433C5" w:rsidRPr="00D433C5" w:rsidTr="00D433C5">
        <w:trPr>
          <w:trHeight w:val="255"/>
        </w:trPr>
        <w:tc>
          <w:tcPr>
            <w:tcW w:w="1661" w:type="pct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WHO regions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</w:tr>
      <w:tr w:rsidR="00D433C5" w:rsidRPr="00D433C5" w:rsidTr="00D433C5">
        <w:trPr>
          <w:trHeight w:val="255"/>
        </w:trPr>
        <w:tc>
          <w:tcPr>
            <w:tcW w:w="1661" w:type="pct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Region of the Americas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21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33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43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61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1.6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0.1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1.8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0.1</w:t>
            </w:r>
          </w:p>
        </w:tc>
      </w:tr>
      <w:tr w:rsidR="00D433C5" w:rsidRPr="00D433C5" w:rsidTr="00D433C5">
        <w:trPr>
          <w:trHeight w:val="255"/>
        </w:trPr>
        <w:tc>
          <w:tcPr>
            <w:tcW w:w="1661" w:type="pct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African Region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21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40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56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56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57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0.1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0.2</w:t>
            </w:r>
          </w:p>
        </w:tc>
      </w:tr>
      <w:tr w:rsidR="00D433C5" w:rsidRPr="00D433C5" w:rsidTr="00D433C5">
        <w:trPr>
          <w:trHeight w:val="255"/>
        </w:trPr>
        <w:tc>
          <w:tcPr>
            <w:tcW w:w="1661" w:type="pct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Western Pacific Region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37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41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54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0.1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0.1</w:t>
            </w:r>
          </w:p>
        </w:tc>
      </w:tr>
      <w:tr w:rsidR="00D433C5" w:rsidRPr="00D433C5" w:rsidTr="00D433C5">
        <w:trPr>
          <w:trHeight w:val="255"/>
        </w:trPr>
        <w:tc>
          <w:tcPr>
            <w:tcW w:w="1661" w:type="pct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Eastern Mediterranean Region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23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26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30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31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0.1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0.1</w:t>
            </w:r>
          </w:p>
        </w:tc>
      </w:tr>
      <w:tr w:rsidR="00D433C5" w:rsidRPr="00D433C5" w:rsidTr="00D433C5">
        <w:trPr>
          <w:trHeight w:val="255"/>
        </w:trPr>
        <w:tc>
          <w:tcPr>
            <w:tcW w:w="1661" w:type="pct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Western European Region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29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37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41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53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0.1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1.0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0.1</w:t>
            </w:r>
          </w:p>
        </w:tc>
      </w:tr>
      <w:tr w:rsidR="00D433C5" w:rsidRPr="00D433C5" w:rsidTr="00D433C5">
        <w:trPr>
          <w:trHeight w:val="270"/>
        </w:trPr>
        <w:tc>
          <w:tcPr>
            <w:tcW w:w="1661" w:type="pct"/>
            <w:tcBorders>
              <w:top w:val="nil"/>
              <w:left w:val="single" w:sz="8" w:space="0" w:color="244062"/>
              <w:bottom w:val="single" w:sz="8" w:space="0" w:color="244062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Eastern European Region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28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55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0.0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244062"/>
              <w:right w:val="single" w:sz="8" w:space="0" w:color="244062"/>
            </w:tcBorders>
            <w:shd w:val="clear" w:color="000000" w:fill="FFFFFF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0.1</w:t>
            </w:r>
          </w:p>
        </w:tc>
      </w:tr>
      <w:tr w:rsidR="00D433C5" w:rsidRPr="00D433C5" w:rsidTr="00D433C5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33C5" w:rsidRPr="00D433C5" w:rsidRDefault="00D433C5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proofErr w:type="spellStart"/>
            <w:proofErr w:type="gramStart"/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vertAlign w:val="superscript"/>
                <w:lang w:val="en-AU" w:eastAsia="en-AU"/>
              </w:rPr>
              <w:t>a</w:t>
            </w: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the</w:t>
            </w:r>
            <w:proofErr w:type="spellEnd"/>
            <w:proofErr w:type="gramEnd"/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 xml:space="preserve"> projected risk for these countries is at age 65 because the age range of these surveys is between 18-65.</w:t>
            </w:r>
          </w:p>
        </w:tc>
      </w:tr>
      <w:tr w:rsidR="00987031" w:rsidRPr="00D433C5" w:rsidTr="00D433C5">
        <w:trPr>
          <w:trHeight w:val="300"/>
        </w:trPr>
        <w:tc>
          <w:tcPr>
            <w:tcW w:w="423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proofErr w:type="spellStart"/>
            <w:proofErr w:type="gramStart"/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vertAlign w:val="superscript"/>
                <w:lang w:val="en-AU" w:eastAsia="en-AU"/>
              </w:rPr>
              <w:t>b</w:t>
            </w: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the</w:t>
            </w:r>
            <w:proofErr w:type="spellEnd"/>
            <w:proofErr w:type="gramEnd"/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 xml:space="preserve"> projected risk for this country is at age 64 because the age range of this survey is between 18-64.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D433C5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D433C5" w:rsidRDefault="00987031" w:rsidP="00D433C5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D433C5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</w:tr>
    </w:tbl>
    <w:p w:rsidR="00BF1FCD" w:rsidRDefault="00BF1FCD">
      <w:pPr>
        <w:sectPr w:rsidR="00BF1FCD" w:rsidSect="00BF1FCD">
          <w:pgSz w:w="11900" w:h="16840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11234" w:type="dxa"/>
        <w:tblInd w:w="93" w:type="dxa"/>
        <w:tblLook w:val="04A0" w:firstRow="1" w:lastRow="0" w:firstColumn="1" w:lastColumn="0" w:noHBand="0" w:noVBand="1"/>
      </w:tblPr>
      <w:tblGrid>
        <w:gridCol w:w="2729"/>
        <w:gridCol w:w="283"/>
        <w:gridCol w:w="709"/>
        <w:gridCol w:w="1134"/>
        <w:gridCol w:w="425"/>
        <w:gridCol w:w="851"/>
        <w:gridCol w:w="121"/>
        <w:gridCol w:w="973"/>
        <w:gridCol w:w="256"/>
        <w:gridCol w:w="639"/>
        <w:gridCol w:w="1083"/>
        <w:gridCol w:w="256"/>
        <w:gridCol w:w="594"/>
        <w:gridCol w:w="1181"/>
      </w:tblGrid>
      <w:tr w:rsidR="00987031" w:rsidRPr="00987031" w:rsidTr="00987031">
        <w:trPr>
          <w:trHeight w:val="227"/>
        </w:trPr>
        <w:tc>
          <w:tcPr>
            <w:tcW w:w="112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1E1B24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lastRenderedPageBreak/>
              <w:t>Appendix table 3. Bivariate associations between socio-demographic</w:t>
            </w:r>
            <w:bookmarkStart w:id="1" w:name="_GoBack"/>
            <w:bookmarkEnd w:id="1"/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 xml:space="preserve"> correlates and DSM-IV intermittent explosive disorder (IED) (all countries combined).  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vMerge w:val="restart"/>
            <w:tcBorders>
              <w:top w:val="single" w:sz="8" w:space="0" w:color="244062"/>
              <w:left w:val="single" w:sz="8" w:space="0" w:color="244062"/>
              <w:bottom w:val="single" w:sz="8" w:space="0" w:color="244062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Correlates</w:t>
            </w:r>
          </w:p>
        </w:tc>
        <w:tc>
          <w:tcPr>
            <w:tcW w:w="283" w:type="dxa"/>
            <w:tcBorders>
              <w:top w:val="single" w:sz="8" w:space="0" w:color="244062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244062"/>
              <w:left w:val="nil"/>
              <w:bottom w:val="single" w:sz="8" w:space="0" w:color="244062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 xml:space="preserve">30-day </w:t>
            </w:r>
            <w:proofErr w:type="spellStart"/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IED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a</w:t>
            </w:r>
            <w:proofErr w:type="spellEnd"/>
          </w:p>
        </w:tc>
        <w:tc>
          <w:tcPr>
            <w:tcW w:w="425" w:type="dxa"/>
            <w:tcBorders>
              <w:top w:val="single" w:sz="8" w:space="0" w:color="244062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945" w:type="dxa"/>
            <w:gridSpan w:val="3"/>
            <w:tcBorders>
              <w:top w:val="single" w:sz="8" w:space="0" w:color="244062"/>
              <w:left w:val="nil"/>
              <w:bottom w:val="single" w:sz="8" w:space="0" w:color="244062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 xml:space="preserve">Lifetime </w:t>
            </w:r>
            <w:proofErr w:type="spellStart"/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IED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b</w:t>
            </w:r>
            <w:proofErr w:type="spellEnd"/>
          </w:p>
        </w:tc>
        <w:tc>
          <w:tcPr>
            <w:tcW w:w="256" w:type="dxa"/>
            <w:tcBorders>
              <w:top w:val="single" w:sz="8" w:space="0" w:color="244062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8" w:space="0" w:color="244062"/>
              <w:left w:val="nil"/>
              <w:bottom w:val="single" w:sz="8" w:space="0" w:color="244062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 xml:space="preserve">12-month IED among lifetime </w:t>
            </w:r>
            <w:proofErr w:type="spellStart"/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cases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c</w:t>
            </w:r>
            <w:proofErr w:type="spellEnd"/>
          </w:p>
        </w:tc>
        <w:tc>
          <w:tcPr>
            <w:tcW w:w="256" w:type="dxa"/>
            <w:tcBorders>
              <w:top w:val="single" w:sz="8" w:space="0" w:color="244062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sz="8" w:space="0" w:color="244062"/>
              <w:left w:val="nil"/>
              <w:bottom w:val="single" w:sz="8" w:space="0" w:color="244062"/>
              <w:right w:val="single" w:sz="8" w:space="0" w:color="244062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 xml:space="preserve">30-day IED among 12-month </w:t>
            </w:r>
            <w:proofErr w:type="spellStart"/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cases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c</w:t>
            </w:r>
            <w:proofErr w:type="spellEnd"/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vMerge/>
            <w:tcBorders>
              <w:top w:val="single" w:sz="8" w:space="0" w:color="244062"/>
              <w:left w:val="single" w:sz="8" w:space="0" w:color="244062"/>
              <w:bottom w:val="single" w:sz="8" w:space="0" w:color="244062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(95% CI)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OR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(95% CI)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OR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(95% CI)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OR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244062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(95% CI)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 xml:space="preserve">Age-cohort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18-29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60"/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5.0*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(2.0-12.6)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031" w:rsidRPr="00987031" w:rsidRDefault="00987031" w:rsidP="00987031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10.4*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(6.8-16.0)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30-44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60"/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4.1*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(1.7-10.0)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031" w:rsidRPr="00987031" w:rsidRDefault="00987031" w:rsidP="00987031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5.5*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(3.7-8.2)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45-59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60"/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3.1*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(1.2-8.0)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031" w:rsidRPr="00987031" w:rsidRDefault="00987031" w:rsidP="00987031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3.4*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(2.3-5.2)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60+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60"/>
              <w:rPr>
                <w:rFonts w:ascii="Candara" w:eastAsia="Times New Roman" w:hAnsi="Candara" w:cs="Times New Roman"/>
                <w:color w:val="003399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003399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Age-cohort difference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3</w:t>
            </w: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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= 13.9*, P = 0.003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 xml:space="preserve">3 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= 144.0*, P &lt;.001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 xml:space="preserve">Age of onset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Early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031" w:rsidRPr="00987031" w:rsidRDefault="00987031" w:rsidP="00987031">
            <w:pPr>
              <w:rPr>
                <w:rFonts w:ascii="Calibri" w:eastAsia="Times New Roman" w:hAnsi="Calibri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libri" w:eastAsia="Times New Roman" w:hAnsi="Calibri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2.2*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(1.3-3.8)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0.4*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(0.2-1.0)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Early-average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031" w:rsidRPr="00987031" w:rsidRDefault="00987031" w:rsidP="00987031">
            <w:pPr>
              <w:rPr>
                <w:rFonts w:ascii="Calibri" w:eastAsia="Times New Roman" w:hAnsi="Calibri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libri" w:eastAsia="Times New Roman" w:hAnsi="Calibri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1.7*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(1.0-2.8)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(0.3-1.8)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Late-average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031" w:rsidRPr="00987031" w:rsidRDefault="00987031" w:rsidP="00987031">
            <w:pPr>
              <w:rPr>
                <w:rFonts w:ascii="Calibri" w:eastAsia="Times New Roman" w:hAnsi="Calibri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libri" w:eastAsia="Times New Roman" w:hAnsi="Calibri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1.8*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(1.1-3.0)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(0.2-1.4)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Late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003399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003399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Age of onset difference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003399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003399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3</w:t>
            </w: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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= 8.9*, P =0.031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 xml:space="preserve">3 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= 5.5, P = 0.140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Time since onset (Continuous)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0.99*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(0.97-1.00)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1.03*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(1.01-1.06)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1</w:t>
            </w: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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=  4.1*, P = 0.043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1</w:t>
            </w: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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=  7.8*, P = 0.005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Gender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Female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60"/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0.7*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(0.5-0.9)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0.7*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(0.6-0.8)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(0.7-1.5)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(0.6-2.0)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Male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60"/>
              <w:rPr>
                <w:rFonts w:ascii="Candara" w:eastAsia="Times New Roman" w:hAnsi="Candara" w:cs="Times New Roman"/>
                <w:color w:val="003399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003399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Gender difference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1</w:t>
            </w: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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= 6.6*, P = 0.010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1</w:t>
            </w: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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= 21.6*, P &lt;.001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1</w:t>
            </w: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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=  0.0, P = 0.940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1</w:t>
            </w: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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=  0.2, P = 0.650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Employment status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Student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60"/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(0.3-1.5)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(0.5-1.5)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(0.2-1.8)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(0.1-1.9)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Homemaker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60"/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(0.6-2.0)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(0.6-1.2)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(0.5-2.1)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(0.6-6.3)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Retired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60"/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0.3*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(0.1-0.7)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(0.4-1.2)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(0.3-1.6)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(0.1-1.1)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Other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60"/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1.8*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(1.2-2.9)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1.5*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(1.1-1.9)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(0.6-1.6)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2.3*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(1.1-4.6)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Employed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60"/>
              <w:rPr>
                <w:rFonts w:ascii="Candara" w:eastAsia="Times New Roman" w:hAnsi="Candara" w:cs="Times New Roman"/>
                <w:color w:val="003399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003399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Employment status difference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003399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003399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4</w:t>
            </w: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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= 17.2*, P = 0.002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4</w:t>
            </w: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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=  12.5*, P = 0.014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4</w:t>
            </w: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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= 1.7, P = 0.783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4</w:t>
            </w: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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=  12.4*, P = 0.015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 xml:space="preserve">Marital status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Never married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60"/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0.6*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(0.4-0.9)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(0.8-1.3)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(0.5-1.3)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0.5*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(0.3-0.9)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Divorced/separated/widowed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60"/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(0.9-2.2)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1.3*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(1.0-1.8)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(0.8-2.5)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(0.3-1.4)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Currently married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60"/>
              <w:rPr>
                <w:rFonts w:ascii="Candara" w:eastAsia="Times New Roman" w:hAnsi="Candara" w:cs="Times New Roman"/>
                <w:color w:val="003399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003399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Marital status difference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003399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003399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 xml:space="preserve">2 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= 9.6*, P = 0.008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2</w:t>
            </w: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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= 4.0, P = 0.132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2</w:t>
            </w: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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=  3.9, P = 0.144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2</w:t>
            </w: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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= 6.0, P = 0.050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 xml:space="preserve">Education level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 xml:space="preserve">No education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60"/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-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-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-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Some primary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60"/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2.5*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(1.2-5.0)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2.3*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(1.6-3.3)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(0.5-3.6)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(0.3-8.6)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Finished primary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60"/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(0.6-3.0)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1.7*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(1.1-2.7)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(0.5-3.1)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(0.1-1.8)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Some secondary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60"/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2.5*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(1.4-4.4)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2.3*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(1.7-3.3)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(0.8-2.9)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(0.5-2.7)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Finished secondary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60"/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(0.8-2.8)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1.7*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(1.3-2.4)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(0.6-1.9)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(0.2-1.5)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Some college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60"/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(0.7-2.2)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1.5*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(1.1-2.1)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(0.5-1.6)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(0.3-1.6)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Finished college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60"/>
              <w:rPr>
                <w:rFonts w:ascii="Candara" w:eastAsia="Times New Roman" w:hAnsi="Candara" w:cs="Times New Roman"/>
                <w:color w:val="003399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003399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Education level difference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6</w:t>
            </w: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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= 14.6*, P = 0.024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6</w:t>
            </w: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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=  31.7*,P &lt;.001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6</w:t>
            </w: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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= 8.5, P = 0.201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6</w:t>
            </w: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>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=  5.7, P = 0.459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 xml:space="preserve">Household income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Low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60"/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(0.6-1.6)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(1.0-1.7)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(0.6-1.8)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(0.3-1.4)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Low-average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60"/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(0.5-1.4)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(0.7-1.3)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(0.6-2.3)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(0.3-1.7)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High-average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60"/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0.5*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(0.3-0.8)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(0.7-1.2)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(0.5-1.5)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0.4*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(0.2-0.9)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0"/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High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60"/>
              <w:rPr>
                <w:rFonts w:ascii="Candara" w:eastAsia="Times New Roman" w:hAnsi="Candara" w:cs="Times New Roman"/>
                <w:color w:val="003399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003399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1.0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Household income difference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 xml:space="preserve">3 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= 10.1*, P = 0.018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 xml:space="preserve">3 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=  9.5*, P = 0.023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 xml:space="preserve">3 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= 1.6, P = 0.649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bscript"/>
                <w:lang w:val="en-AU" w:eastAsia="en-AU"/>
              </w:rPr>
              <w:t xml:space="preserve">3 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=  5.4, P = 0.148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ind w:firstLineChars="200" w:firstLine="360"/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27"/>
        </w:trPr>
        <w:tc>
          <w:tcPr>
            <w:tcW w:w="2729" w:type="dxa"/>
            <w:tcBorders>
              <w:top w:val="nil"/>
              <w:left w:val="single" w:sz="8" w:space="0" w:color="244062"/>
              <w:bottom w:val="single" w:sz="8" w:space="0" w:color="244062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N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vertAlign w:val="superscript"/>
                <w:lang w:val="en-AU" w:eastAsia="en-AU"/>
              </w:rPr>
              <w:t>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ind w:firstLineChars="200" w:firstLine="360"/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FF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D9D9D9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88063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D9D9D9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3731811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D9D9D9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674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244062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C00000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244062"/>
              <w:right w:val="single" w:sz="8" w:space="0" w:color="244062"/>
            </w:tcBorders>
            <w:shd w:val="clear" w:color="000000" w:fill="D9D9D9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20"/>
                <w:lang w:val="en-AU" w:eastAsia="en-AU"/>
              </w:rPr>
              <w:t>357</w:t>
            </w:r>
          </w:p>
        </w:tc>
      </w:tr>
      <w:tr w:rsidR="00987031" w:rsidRPr="00987031" w:rsidTr="00987031">
        <w:trPr>
          <w:trHeight w:val="227"/>
        </w:trPr>
        <w:tc>
          <w:tcPr>
            <w:tcW w:w="112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*Significant at the .05 level, 2 sided test.</w:t>
            </w:r>
          </w:p>
        </w:tc>
      </w:tr>
      <w:tr w:rsidR="00987031" w:rsidRPr="00987031" w:rsidTr="00987031">
        <w:trPr>
          <w:trHeight w:val="227"/>
        </w:trPr>
        <w:tc>
          <w:tcPr>
            <w:tcW w:w="112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proofErr w:type="spellStart"/>
            <w:proofErr w:type="gramStart"/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vertAlign w:val="superscript"/>
                <w:lang w:val="en-AU" w:eastAsia="en-AU"/>
              </w:rPr>
              <w:t>a</w:t>
            </w: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These</w:t>
            </w:r>
            <w:proofErr w:type="spellEnd"/>
            <w:proofErr w:type="gramEnd"/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 xml:space="preserve"> estimates are based on logistic regression models adjusted for age, gender and country.</w:t>
            </w:r>
          </w:p>
        </w:tc>
      </w:tr>
      <w:tr w:rsidR="00987031" w:rsidRPr="00987031" w:rsidTr="00987031">
        <w:trPr>
          <w:trHeight w:val="227"/>
        </w:trPr>
        <w:tc>
          <w:tcPr>
            <w:tcW w:w="112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proofErr w:type="spellStart"/>
            <w:proofErr w:type="gramStart"/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vertAlign w:val="superscript"/>
                <w:lang w:val="en-AU" w:eastAsia="en-AU"/>
              </w:rPr>
              <w:t>b</w:t>
            </w: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These</w:t>
            </w:r>
            <w:proofErr w:type="spellEnd"/>
            <w:proofErr w:type="gramEnd"/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 xml:space="preserve"> estimates are based on survival models adjusted for age-cohorts, gender, person-years and country. </w:t>
            </w:r>
          </w:p>
        </w:tc>
      </w:tr>
      <w:tr w:rsidR="00987031" w:rsidRPr="00987031" w:rsidTr="00987031">
        <w:trPr>
          <w:trHeight w:val="227"/>
        </w:trPr>
        <w:tc>
          <w:tcPr>
            <w:tcW w:w="112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proofErr w:type="spellStart"/>
            <w:proofErr w:type="gramStart"/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vertAlign w:val="superscript"/>
                <w:lang w:val="en-AU" w:eastAsia="en-AU"/>
              </w:rPr>
              <w:t>c</w:t>
            </w: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These</w:t>
            </w:r>
            <w:proofErr w:type="spellEnd"/>
            <w:proofErr w:type="gramEnd"/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 xml:space="preserve"> estimates are based on logistic regression models adjusted for time since IED onset, age of IED onset, gender and country.</w:t>
            </w:r>
          </w:p>
        </w:tc>
      </w:tr>
      <w:tr w:rsidR="00987031" w:rsidRPr="00987031" w:rsidTr="00987031">
        <w:trPr>
          <w:trHeight w:val="227"/>
        </w:trPr>
        <w:tc>
          <w:tcPr>
            <w:tcW w:w="8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proofErr w:type="spellStart"/>
            <w:proofErr w:type="gramStart"/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vertAlign w:val="superscript"/>
                <w:lang w:val="en-AU" w:eastAsia="en-AU"/>
              </w:rPr>
              <w:t>d</w:t>
            </w: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Chi</w:t>
            </w:r>
            <w:proofErr w:type="spellEnd"/>
            <w:proofErr w:type="gramEnd"/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 xml:space="preserve"> square test of significant differences between blocks of sociodemographic variables.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27"/>
        </w:trPr>
        <w:tc>
          <w:tcPr>
            <w:tcW w:w="112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</w:pPr>
            <w:proofErr w:type="spellStart"/>
            <w:proofErr w:type="gramStart"/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vertAlign w:val="superscript"/>
                <w:lang w:val="en-AU" w:eastAsia="en-AU"/>
              </w:rPr>
              <w:t>e</w:t>
            </w:r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>Denominator</w:t>
            </w:r>
            <w:proofErr w:type="spellEnd"/>
            <w:proofErr w:type="gramEnd"/>
            <w:r w:rsidRPr="00987031">
              <w:rPr>
                <w:rFonts w:ascii="Candara" w:eastAsia="Times New Roman" w:hAnsi="Candara" w:cs="Times New Roman"/>
                <w:color w:val="244062"/>
                <w:sz w:val="18"/>
                <w:szCs w:val="20"/>
                <w:lang w:val="en-AU" w:eastAsia="en-AU"/>
              </w:rPr>
              <w:t xml:space="preserve"> N: 88,063 = total sample;  3,731,811 = number of person-years in the survival models; 674 = number of lifetime IED cases; 357 = number of 12-month IED cases.</w:t>
            </w:r>
          </w:p>
        </w:tc>
      </w:tr>
    </w:tbl>
    <w:p w:rsidR="00987031" w:rsidRDefault="00987031">
      <w:pPr>
        <w:sectPr w:rsidR="00987031" w:rsidSect="00BF1FCD">
          <w:pgSz w:w="11900" w:h="16840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54"/>
        <w:gridCol w:w="263"/>
        <w:gridCol w:w="513"/>
        <w:gridCol w:w="446"/>
        <w:gridCol w:w="1094"/>
        <w:gridCol w:w="253"/>
        <w:gridCol w:w="523"/>
        <w:gridCol w:w="472"/>
        <w:gridCol w:w="1094"/>
        <w:gridCol w:w="253"/>
        <w:gridCol w:w="523"/>
        <w:gridCol w:w="492"/>
        <w:gridCol w:w="1095"/>
        <w:gridCol w:w="253"/>
        <w:gridCol w:w="523"/>
        <w:gridCol w:w="435"/>
        <w:gridCol w:w="1093"/>
      </w:tblGrid>
      <w:tr w:rsidR="00987031" w:rsidRPr="00987031" w:rsidTr="00987031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A90D43" w:rsidRDefault="00A90D43" w:rsidP="00A90D43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18"/>
                <w:lang w:val="en-AU" w:eastAsia="en-AU"/>
              </w:rPr>
            </w:pPr>
            <w:bookmarkStart w:id="2" w:name="RANGE!B1:R56"/>
            <w:r w:rsidRPr="00A90D43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18"/>
                <w:lang w:val="en-AU" w:eastAsia="en-AU"/>
              </w:rPr>
              <w:lastRenderedPageBreak/>
              <w:t xml:space="preserve">Appendix </w:t>
            </w:r>
            <w:r w:rsidR="00987031" w:rsidRPr="00A90D43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18"/>
                <w:lang w:val="en-AU" w:eastAsia="en-AU"/>
              </w:rPr>
              <w:t xml:space="preserve">Table </w:t>
            </w:r>
            <w:r w:rsidRPr="00A90D43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18"/>
                <w:lang w:val="en-AU" w:eastAsia="en-AU"/>
              </w:rPr>
              <w:t>4</w:t>
            </w:r>
            <w:r w:rsidR="00987031" w:rsidRPr="00A90D43">
              <w:rPr>
                <w:rFonts w:ascii="Candara" w:eastAsia="Times New Roman" w:hAnsi="Candara" w:cs="Times New Roman"/>
                <w:b/>
                <w:bCs/>
                <w:color w:val="244062"/>
                <w:sz w:val="18"/>
                <w:szCs w:val="18"/>
                <w:lang w:val="en-AU" w:eastAsia="en-AU"/>
              </w:rPr>
              <w:t>. Among those with 12-month intermittent explosive disorder, percent reporting treatment in the past 12 months by Sheehan impairment severity.</w:t>
            </w:r>
            <w:bookmarkEnd w:id="2"/>
          </w:p>
        </w:tc>
      </w:tr>
      <w:tr w:rsidR="00987031" w:rsidRPr="00987031" w:rsidTr="00987031">
        <w:trPr>
          <w:trHeight w:val="147"/>
        </w:trPr>
        <w:tc>
          <w:tcPr>
            <w:tcW w:w="90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Sector of treatment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3981" w:type="pct"/>
            <w:gridSpan w:val="15"/>
            <w:tcBorders>
              <w:top w:val="single" w:sz="8" w:space="0" w:color="auto"/>
              <w:left w:val="nil"/>
              <w:bottom w:val="single" w:sz="4" w:space="0" w:color="003399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 xml:space="preserve">Sheehan Disability Scale </w:t>
            </w:r>
            <w:proofErr w:type="spellStart"/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Category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vertAlign w:val="superscript"/>
                <w:lang w:val="en-AU" w:eastAsia="en-AU"/>
              </w:rPr>
              <w:t>a</w:t>
            </w:r>
            <w:proofErr w:type="spellEnd"/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vertAlign w:val="superscript"/>
                <w:lang w:val="en-AU" w:eastAsia="en-AU"/>
              </w:rPr>
              <w:t xml:space="preserve"> </w:t>
            </w: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Mild Impairment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9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Moderate Impairment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Severe Impairment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901" w:type="pct"/>
            <w:gridSpan w:val="3"/>
            <w:vMerge w:val="restart"/>
            <w:tcBorders>
              <w:top w:val="nil"/>
              <w:left w:val="nil"/>
              <w:bottom w:val="single" w:sz="4" w:space="0" w:color="003399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Any impairment</w:t>
            </w: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003399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(Score: 1-3)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918" w:type="pct"/>
            <w:gridSpan w:val="3"/>
            <w:tcBorders>
              <w:top w:val="nil"/>
              <w:left w:val="nil"/>
              <w:bottom w:val="single" w:sz="4" w:space="0" w:color="003399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(Score: 4-6)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926" w:type="pct"/>
            <w:gridSpan w:val="3"/>
            <w:tcBorders>
              <w:top w:val="nil"/>
              <w:left w:val="nil"/>
              <w:bottom w:val="single" w:sz="4" w:space="0" w:color="003399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(Score: 7-10)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901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SE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 xml:space="preserve">Comparison between </w:t>
            </w:r>
            <w:proofErr w:type="spellStart"/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countries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vertAlign w:val="superscript"/>
                <w:lang w:val="en-AU" w:eastAsia="en-AU"/>
              </w:rPr>
              <w:t>b</w:t>
            </w:r>
            <w:proofErr w:type="spellEnd"/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SE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 xml:space="preserve">Comparison between </w:t>
            </w:r>
            <w:proofErr w:type="spellStart"/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countries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vertAlign w:val="superscript"/>
                <w:lang w:val="en-AU" w:eastAsia="en-AU"/>
              </w:rPr>
              <w:t>b</w:t>
            </w:r>
            <w:proofErr w:type="spellEnd"/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%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SE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 xml:space="preserve">Comparison between </w:t>
            </w:r>
            <w:proofErr w:type="spellStart"/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countries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vertAlign w:val="superscript"/>
                <w:lang w:val="en-AU" w:eastAsia="en-AU"/>
              </w:rPr>
              <w:t>b</w:t>
            </w:r>
            <w:proofErr w:type="spellEnd"/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%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SE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 xml:space="preserve">Comparison between </w:t>
            </w:r>
            <w:proofErr w:type="spellStart"/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countries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vertAlign w:val="superscript"/>
                <w:lang w:val="en-AU" w:eastAsia="en-AU"/>
              </w:rPr>
              <w:t>b</w:t>
            </w:r>
            <w:proofErr w:type="spellEnd"/>
          </w:p>
        </w:tc>
      </w:tr>
      <w:tr w:rsidR="00987031" w:rsidRPr="00987031" w:rsidTr="00987031">
        <w:trPr>
          <w:trHeight w:val="255"/>
        </w:trPr>
        <w:tc>
          <w:tcPr>
            <w:tcW w:w="101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 xml:space="preserve">Specialty mental </w:t>
            </w:r>
            <w:proofErr w:type="spellStart"/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health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vertAlign w:val="superscript"/>
                <w:lang w:val="en-AU" w:eastAsia="en-AU"/>
              </w:rPr>
              <w:t>c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Low-lower income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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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 xml:space="preserve"> = 4.3*,             P = 0.01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5.3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2.1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 xml:space="preserve"> = 8.1*,             P &lt; .001</w:t>
            </w: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Upper-middle income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32.6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12.9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16.9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6.2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High income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19.1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7.4</w:t>
            </w: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26.0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6.4</w:t>
            </w: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22.2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5.9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21.0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3.3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</w:tr>
      <w:tr w:rsidR="00987031" w:rsidRPr="00987031" w:rsidTr="00987031">
        <w:trPr>
          <w:trHeight w:val="255"/>
        </w:trPr>
        <w:tc>
          <w:tcPr>
            <w:tcW w:w="101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All countries combined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9.4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3.8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16.4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3.8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17.8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3.8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14.7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2.0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 xml:space="preserve">General </w:t>
            </w:r>
            <w:proofErr w:type="spellStart"/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medical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vertAlign w:val="superscript"/>
                <w:lang w:val="en-AU" w:eastAsia="en-AU"/>
              </w:rPr>
              <w:t>d</w:t>
            </w:r>
            <w:proofErr w:type="spellEnd"/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Low-lower income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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 xml:space="preserve"> = 6.1*,             P &lt; .001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 xml:space="preserve"> = 3.2*,             P = 0.04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7.8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3.1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 xml:space="preserve"> = 4.5*,             P = 0.01</w:t>
            </w: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Upper-middle income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22.4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9.4</w:t>
            </w: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25.7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11.2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17.1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4.7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High income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19.3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8.2</w:t>
            </w: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18.1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6.3</w:t>
            </w: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31.8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5.6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21.5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3.5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</w:tr>
      <w:tr w:rsidR="00987031" w:rsidRPr="00987031" w:rsidTr="00987031">
        <w:trPr>
          <w:trHeight w:val="255"/>
        </w:trPr>
        <w:tc>
          <w:tcPr>
            <w:tcW w:w="101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All countries combined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15.6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5.9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12.6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3.4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24.3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3.9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15.9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2.1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 xml:space="preserve">Health </w:t>
            </w:r>
            <w:proofErr w:type="spellStart"/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care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vertAlign w:val="superscript"/>
                <w:lang w:val="en-AU" w:eastAsia="en-AU"/>
              </w:rPr>
              <w:t>e</w:t>
            </w:r>
            <w:proofErr w:type="spellEnd"/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Low-lower income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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 xml:space="preserve"> = 4.0*,             P = 0.02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14.3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6.5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 xml:space="preserve"> = 4.6*,             P = 0.01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12.0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3.5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 xml:space="preserve"> = 8.0*,             P &lt; .001</w:t>
            </w: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Upper-middle income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25.9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10.1</w:t>
            </w: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40.1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14.3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28.4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7.0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High income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26.3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9.0</w:t>
            </w: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34.8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6.6</w:t>
            </w: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42.8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6.5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33.5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4.1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</w:tr>
      <w:tr w:rsidR="00987031" w:rsidRPr="00987031" w:rsidTr="00987031">
        <w:trPr>
          <w:trHeight w:val="255"/>
        </w:trPr>
        <w:tc>
          <w:tcPr>
            <w:tcW w:w="101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All countries combined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19.2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6.2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24.0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4.2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33.2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4.6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25.0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2.6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 xml:space="preserve">Human </w:t>
            </w:r>
            <w:proofErr w:type="spellStart"/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services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vertAlign w:val="superscript"/>
                <w:lang w:val="en-AU" w:eastAsia="en-AU"/>
              </w:rPr>
              <w:t>f</w:t>
            </w:r>
            <w:proofErr w:type="spellEnd"/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Low-lower income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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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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</w:t>
            </w: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Upper-middle income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High income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8.3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3.6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5.2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1.7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</w:tr>
      <w:tr w:rsidR="00987031" w:rsidRPr="00987031" w:rsidTr="00987031">
        <w:trPr>
          <w:trHeight w:val="255"/>
        </w:trPr>
        <w:tc>
          <w:tcPr>
            <w:tcW w:w="101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All countries combined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3.9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1.7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5.3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2.0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3.6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1.0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proofErr w:type="spellStart"/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CAM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vertAlign w:val="superscript"/>
                <w:lang w:val="en-AU" w:eastAsia="en-AU"/>
              </w:rPr>
              <w:t>g</w:t>
            </w:r>
            <w:proofErr w:type="spellEnd"/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Low-lower income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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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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</w:t>
            </w: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Upper-middle income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High income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5.3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2.4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3.5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1.3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</w:tr>
      <w:tr w:rsidR="00987031" w:rsidRPr="00987031" w:rsidTr="00987031">
        <w:trPr>
          <w:trHeight w:val="255"/>
        </w:trPr>
        <w:tc>
          <w:tcPr>
            <w:tcW w:w="101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All countries combined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3.7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1.5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2.3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0.7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 xml:space="preserve">Non health </w:t>
            </w:r>
            <w:proofErr w:type="spellStart"/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care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vertAlign w:val="superscript"/>
                <w:lang w:val="en-AU" w:eastAsia="en-AU"/>
              </w:rPr>
              <w:t>h</w:t>
            </w:r>
            <w:proofErr w:type="spellEnd"/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Low-lower income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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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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</w:t>
            </w: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Upper-middle income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High income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7.5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2.7</w:t>
            </w: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12.8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4.2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8.4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2.1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</w:tr>
      <w:tr w:rsidR="00987031" w:rsidRPr="00987031" w:rsidTr="00987031">
        <w:trPr>
          <w:trHeight w:val="255"/>
        </w:trPr>
        <w:tc>
          <w:tcPr>
            <w:tcW w:w="101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All countries combined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4.7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1.5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8.5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2.5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5.4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1.1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 xml:space="preserve">Any </w:t>
            </w:r>
            <w:proofErr w:type="spellStart"/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treatment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vertAlign w:val="superscript"/>
                <w:lang w:val="en-AU" w:eastAsia="en-AU"/>
              </w:rPr>
              <w:t>i</w:t>
            </w:r>
            <w:proofErr w:type="spellEnd"/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Low-lower income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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 xml:space="preserve"> = 4.3*,             P = 0.01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14.3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6.5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 xml:space="preserve"> = 5.2*,             P = 0.01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13.4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3.7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7031" w:rsidRPr="00987031" w:rsidRDefault="00987031" w:rsidP="0098703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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vertAlign w:val="superscript"/>
                <w:lang w:val="en-AU" w:eastAsia="en-AU"/>
              </w:rPr>
              <w:t>2</w:t>
            </w: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 xml:space="preserve"> =  8.5*,             P &lt; .001</w:t>
            </w: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Upper-middle income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</w:t>
            </w: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25.9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10.1</w:t>
            </w: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40.1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14.3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28.4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7.0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</w:tr>
      <w:tr w:rsidR="00987031" w:rsidRPr="00987031" w:rsidTr="00987031">
        <w:trPr>
          <w:trHeight w:val="255"/>
        </w:trPr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High income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200" w:firstLine="34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28.3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9.2</w:t>
            </w: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38.4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6.5</w:t>
            </w: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46.5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7.3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Symbol" w:eastAsia="Times New Roman" w:hAnsi="Symbol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36.3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4.1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</w:p>
        </w:tc>
      </w:tr>
      <w:tr w:rsidR="00987031" w:rsidRPr="00987031" w:rsidTr="00987031">
        <w:trPr>
          <w:trHeight w:val="255"/>
        </w:trPr>
        <w:tc>
          <w:tcPr>
            <w:tcW w:w="101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ind w:firstLineChars="100" w:firstLine="170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All countries combined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20.2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6.3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26.2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4.2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35.2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4.9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26.8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jc w:val="right"/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2.6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55"/>
        </w:trPr>
        <w:tc>
          <w:tcPr>
            <w:tcW w:w="20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A dash was inserted for low cell counts (&lt; 5 cases).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b/>
                <w:bCs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55"/>
        </w:trPr>
        <w:tc>
          <w:tcPr>
            <w:tcW w:w="452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proofErr w:type="spellStart"/>
            <w:proofErr w:type="gramStart"/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vertAlign w:val="superscript"/>
                <w:lang w:val="en-AU" w:eastAsia="en-AU"/>
              </w:rPr>
              <w:t>a</w:t>
            </w: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Highest</w:t>
            </w:r>
            <w:proofErr w:type="spellEnd"/>
            <w:proofErr w:type="gramEnd"/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 xml:space="preserve"> severity category across 4 SDS role domains.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proofErr w:type="spellStart"/>
            <w:proofErr w:type="gramStart"/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vertAlign w:val="superscript"/>
                <w:lang w:val="en-AU" w:eastAsia="en-AU"/>
              </w:rPr>
              <w:t>b</w:t>
            </w: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Chi</w:t>
            </w:r>
            <w:proofErr w:type="spellEnd"/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-square</w:t>
            </w:r>
            <w:proofErr w:type="gramEnd"/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 xml:space="preserve"> test of homogeneity to determine if there is variation in prevalence of treatment estimates across countries. Chi square test is only generated where there is more than one stable cell (&gt;= 5 cases</w:t>
            </w:r>
            <w:proofErr w:type="gramStart"/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)  for</w:t>
            </w:r>
            <w:proofErr w:type="gramEnd"/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 xml:space="preserve"> each combination of treatment sector and </w:t>
            </w:r>
            <w:proofErr w:type="spellStart"/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sheehan</w:t>
            </w:r>
            <w:proofErr w:type="spellEnd"/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 xml:space="preserve"> impairment. </w:t>
            </w:r>
          </w:p>
        </w:tc>
      </w:tr>
      <w:tr w:rsidR="00987031" w:rsidRPr="00987031" w:rsidTr="00987031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proofErr w:type="spellStart"/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vertAlign w:val="superscript"/>
                <w:lang w:val="en-AU" w:eastAsia="en-AU"/>
              </w:rPr>
              <w:t>c</w:t>
            </w: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The</w:t>
            </w:r>
            <w:proofErr w:type="spellEnd"/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 xml:space="preserve"> mental health specialist sector, which includes psychiatrist and non-psychiatrist mental health specialists (psychiatrist, psychologist or other non-psychiatrist mental health professional; social worker or counsellor in a mental health specialty setting; use of a mental health helpline; or overnight admissions for a mental health or drug or alcohol problems, with a presumption of daily contact with a psychiatrist).</w:t>
            </w:r>
          </w:p>
        </w:tc>
      </w:tr>
      <w:tr w:rsidR="00987031" w:rsidRPr="00987031" w:rsidTr="00987031">
        <w:trPr>
          <w:trHeight w:val="255"/>
        </w:trPr>
        <w:tc>
          <w:tcPr>
            <w:tcW w:w="452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proofErr w:type="spellStart"/>
            <w:proofErr w:type="gramStart"/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vertAlign w:val="superscript"/>
                <w:lang w:val="en-AU" w:eastAsia="en-AU"/>
              </w:rPr>
              <w:t>d</w:t>
            </w: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The</w:t>
            </w:r>
            <w:proofErr w:type="spellEnd"/>
            <w:proofErr w:type="gramEnd"/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 xml:space="preserve"> general medical sector (general practitioner, other medical doctor, nurse, occupational therapist or any healthcare professional).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55"/>
        </w:trPr>
        <w:tc>
          <w:tcPr>
            <w:tcW w:w="295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proofErr w:type="spellStart"/>
            <w:proofErr w:type="gramStart"/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vertAlign w:val="superscript"/>
                <w:lang w:val="en-AU" w:eastAsia="en-AU"/>
              </w:rPr>
              <w:t>e</w:t>
            </w: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The</w:t>
            </w:r>
            <w:proofErr w:type="spellEnd"/>
            <w:proofErr w:type="gramEnd"/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 xml:space="preserve"> mental health specialist sector or the general medical sector.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proofErr w:type="spellStart"/>
            <w:proofErr w:type="gramStart"/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vertAlign w:val="superscript"/>
                <w:lang w:val="en-AU" w:eastAsia="en-AU"/>
              </w:rPr>
              <w:t>f</w:t>
            </w: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The</w:t>
            </w:r>
            <w:proofErr w:type="spellEnd"/>
            <w:proofErr w:type="gramEnd"/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 xml:space="preserve"> human services sector (religious or spiritual advisor or social worker or counsellor in any setting other than a specialty mental health setting).</w:t>
            </w:r>
          </w:p>
        </w:tc>
      </w:tr>
      <w:tr w:rsidR="00987031" w:rsidRPr="00987031" w:rsidTr="00987031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proofErr w:type="spellStart"/>
            <w:proofErr w:type="gramStart"/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vertAlign w:val="superscript"/>
                <w:lang w:val="en-AU" w:eastAsia="en-AU"/>
              </w:rPr>
              <w:t>g</w:t>
            </w: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The</w:t>
            </w:r>
            <w:proofErr w:type="spellEnd"/>
            <w:proofErr w:type="gramEnd"/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 xml:space="preserve"> CAM (complementary and alternative medicine) sector (any other type of healer such as herbalist or homeopath, participation in an internet support group, or participation in a self-help group).</w:t>
            </w:r>
          </w:p>
        </w:tc>
      </w:tr>
      <w:tr w:rsidR="00987031" w:rsidRPr="00987031" w:rsidTr="00987031">
        <w:trPr>
          <w:trHeight w:val="255"/>
        </w:trPr>
        <w:tc>
          <w:tcPr>
            <w:tcW w:w="14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proofErr w:type="spellStart"/>
            <w:proofErr w:type="gramStart"/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vertAlign w:val="superscript"/>
                <w:lang w:val="en-AU" w:eastAsia="en-AU"/>
              </w:rPr>
              <w:t>h</w:t>
            </w: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The</w:t>
            </w:r>
            <w:proofErr w:type="spellEnd"/>
            <w:proofErr w:type="gramEnd"/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 xml:space="preserve"> human services sector or CAM.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</w:tr>
      <w:tr w:rsidR="00987031" w:rsidRPr="00987031" w:rsidTr="00987031">
        <w:trPr>
          <w:trHeight w:val="255"/>
        </w:trPr>
        <w:tc>
          <w:tcPr>
            <w:tcW w:w="398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proofErr w:type="spellStart"/>
            <w:proofErr w:type="gramStart"/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vertAlign w:val="superscript"/>
                <w:lang w:val="en-AU" w:eastAsia="en-AU"/>
              </w:rPr>
              <w:t>i</w:t>
            </w: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Respondents</w:t>
            </w:r>
            <w:proofErr w:type="spellEnd"/>
            <w:proofErr w:type="gramEnd"/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 xml:space="preserve"> who sought any form of professional treatments listed in the footnotes above.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031" w:rsidRPr="00987031" w:rsidRDefault="00987031" w:rsidP="00987031">
            <w:pPr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</w:pPr>
            <w:r w:rsidRPr="00987031">
              <w:rPr>
                <w:rFonts w:ascii="Candara" w:eastAsia="Times New Roman" w:hAnsi="Candara" w:cs="Times New Roman"/>
                <w:color w:val="244062"/>
                <w:sz w:val="17"/>
                <w:szCs w:val="17"/>
                <w:lang w:val="en-AU" w:eastAsia="en-AU"/>
              </w:rPr>
              <w:t> </w:t>
            </w:r>
          </w:p>
        </w:tc>
      </w:tr>
    </w:tbl>
    <w:p w:rsidR="00D04FC3" w:rsidRDefault="00D04FC3" w:rsidP="00A90D43"/>
    <w:sectPr w:rsidR="00D04FC3" w:rsidSect="00987031">
      <w:pgSz w:w="11900" w:h="16840"/>
      <w:pgMar w:top="567" w:right="340" w:bottom="56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CD"/>
    <w:rsid w:val="001E1B24"/>
    <w:rsid w:val="00291617"/>
    <w:rsid w:val="003E7037"/>
    <w:rsid w:val="00987031"/>
    <w:rsid w:val="00A90D43"/>
    <w:rsid w:val="00B40C1E"/>
    <w:rsid w:val="00B92E42"/>
    <w:rsid w:val="00BF1FCD"/>
    <w:rsid w:val="00D04FC3"/>
    <w:rsid w:val="00D4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Lim</dc:creator>
  <cp:lastModifiedBy>Kate Scott</cp:lastModifiedBy>
  <cp:revision>3</cp:revision>
  <dcterms:created xsi:type="dcterms:W3CDTF">2016-06-14T02:36:00Z</dcterms:created>
  <dcterms:modified xsi:type="dcterms:W3CDTF">2016-06-16T23:51:00Z</dcterms:modified>
</cp:coreProperties>
</file>