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EF" w:rsidRPr="00B13DEF" w:rsidRDefault="00B13DEF" w:rsidP="00B13DEF">
      <w:pPr>
        <w:spacing w:after="0" w:line="480" w:lineRule="auto"/>
        <w:ind w:right="-34"/>
        <w:contextualSpacing/>
        <w:jc w:val="both"/>
        <w:rPr>
          <w:rFonts w:ascii="Century Gothic" w:eastAsia="Calibri" w:hAnsi="Century Gothic" w:cs="Century Gothic"/>
          <w:lang w:val="en-US"/>
        </w:rPr>
      </w:pPr>
      <w:r w:rsidRPr="00B13DEF">
        <w:rPr>
          <w:rFonts w:ascii="Century Gothic" w:eastAsia="Calibri" w:hAnsi="Century Gothic" w:cs="Century Gothic"/>
          <w:lang w:val="en-US"/>
        </w:rPr>
        <w:t>SUPPLEMENTARY DATA</w:t>
      </w:r>
    </w:p>
    <w:p w:rsidR="00B13DEF" w:rsidRPr="00B13DEF" w:rsidRDefault="007A35F3" w:rsidP="00B13DEF">
      <w:pPr>
        <w:spacing w:after="0" w:line="480" w:lineRule="auto"/>
        <w:ind w:right="-34"/>
        <w:contextualSpacing/>
        <w:jc w:val="both"/>
        <w:rPr>
          <w:rFonts w:ascii="Century Gothic" w:eastAsia="Calibri" w:hAnsi="Century Gothic" w:cs="Century Gothic"/>
          <w:lang w:val="en-US"/>
        </w:rPr>
      </w:pPr>
      <w:r>
        <w:rPr>
          <w:rFonts w:ascii="Century Gothic" w:eastAsia="Calibri" w:hAnsi="Century Gothic" w:cs="Century Gothic"/>
          <w:noProof/>
          <w:lang w:val="en-US"/>
        </w:rPr>
        <w:drawing>
          <wp:inline distT="0" distB="0" distL="0" distR="0">
            <wp:extent cx="5303962" cy="43209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S1_Oliveira_et_al._2017.tif"/>
                    <pic:cNvPicPr/>
                  </pic:nvPicPr>
                  <pic:blipFill>
                    <a:blip r:embed="rId4">
                      <a:extLst>
                        <a:ext uri="{28A0092B-C50C-407E-A947-70E740481C1C}">
                          <a14:useLocalDpi xmlns:a14="http://schemas.microsoft.com/office/drawing/2010/main" val="0"/>
                        </a:ext>
                      </a:extLst>
                    </a:blip>
                    <a:stretch>
                      <a:fillRect/>
                    </a:stretch>
                  </pic:blipFill>
                  <pic:spPr>
                    <a:xfrm>
                      <a:off x="0" y="0"/>
                      <a:ext cx="5303962" cy="4320900"/>
                    </a:xfrm>
                    <a:prstGeom prst="rect">
                      <a:avLst/>
                    </a:prstGeom>
                  </pic:spPr>
                </pic:pic>
              </a:graphicData>
            </a:graphic>
          </wp:inline>
        </w:drawing>
      </w:r>
    </w:p>
    <w:p w:rsidR="00B13DEF" w:rsidRPr="00B13DEF" w:rsidRDefault="00B13DEF" w:rsidP="00B13DEF">
      <w:pPr>
        <w:autoSpaceDE w:val="0"/>
        <w:autoSpaceDN w:val="0"/>
        <w:adjustRightInd w:val="0"/>
        <w:spacing w:after="0" w:line="480" w:lineRule="auto"/>
        <w:ind w:right="-34"/>
        <w:contextualSpacing/>
        <w:jc w:val="both"/>
        <w:rPr>
          <w:rFonts w:ascii="Century Gothic" w:eastAsia="Calibri" w:hAnsi="Century Gothic" w:cs="Century Gothic"/>
          <w:lang w:val="en-US" w:eastAsia="pt-BR"/>
        </w:rPr>
      </w:pPr>
      <w:r w:rsidRPr="00B13DEF">
        <w:rPr>
          <w:rFonts w:ascii="Century Gothic" w:eastAsia="Calibri" w:hAnsi="Century Gothic" w:cs="Century Gothic"/>
          <w:lang w:val="en-US" w:eastAsia="pt-BR"/>
        </w:rPr>
        <w:t>Fig. S1. Analysis of cell viability and plasma membrane integrity in wild-type (WT) and MDL28170-resistant (MDL</w:t>
      </w:r>
      <w:r w:rsidRPr="00B13DEF">
        <w:rPr>
          <w:rFonts w:ascii="Century Gothic" w:eastAsia="Calibri" w:hAnsi="Century Gothic" w:cs="Century Gothic"/>
          <w:vertAlign w:val="superscript"/>
          <w:lang w:val="en-US" w:eastAsia="pt-BR"/>
        </w:rPr>
        <w:t>R</w:t>
      </w:r>
      <w:r w:rsidRPr="00B13DEF">
        <w:rPr>
          <w:rFonts w:ascii="Century Gothic" w:eastAsia="Calibri" w:hAnsi="Century Gothic" w:cs="Century Gothic"/>
          <w:lang w:val="en-US" w:eastAsia="pt-BR"/>
        </w:rPr>
        <w:t xml:space="preserve">) promastigotes of </w:t>
      </w:r>
      <w:r w:rsidRPr="00B13DEF">
        <w:rPr>
          <w:rFonts w:ascii="Century Gothic" w:eastAsia="Calibri" w:hAnsi="Century Gothic" w:cs="Century Gothic"/>
          <w:i/>
          <w:lang w:val="en-US" w:eastAsia="pt-BR"/>
        </w:rPr>
        <w:t xml:space="preserve">P. </w:t>
      </w:r>
      <w:proofErr w:type="spellStart"/>
      <w:r w:rsidRPr="00B13DEF">
        <w:rPr>
          <w:rFonts w:ascii="Century Gothic" w:eastAsia="Calibri" w:hAnsi="Century Gothic" w:cs="Century Gothic"/>
          <w:i/>
          <w:lang w:val="en-US" w:eastAsia="pt-BR"/>
        </w:rPr>
        <w:t>serpens</w:t>
      </w:r>
      <w:proofErr w:type="spellEnd"/>
      <w:r w:rsidRPr="00B13DEF">
        <w:rPr>
          <w:rFonts w:ascii="Century Gothic" w:eastAsia="Calibri" w:hAnsi="Century Gothic" w:cs="Century Gothic"/>
          <w:i/>
          <w:lang w:val="en-US" w:eastAsia="pt-BR"/>
        </w:rPr>
        <w:t xml:space="preserve">. </w:t>
      </w:r>
      <w:r w:rsidRPr="00B13DEF">
        <w:rPr>
          <w:rFonts w:ascii="Century Gothic" w:eastAsia="Calibri" w:hAnsi="Century Gothic" w:cs="Century Gothic"/>
          <w:lang w:val="en-US" w:eastAsia="pt-BR"/>
        </w:rPr>
        <w:t>(A)</w:t>
      </w:r>
      <w:r w:rsidRPr="00B13DEF">
        <w:rPr>
          <w:rFonts w:ascii="Century Gothic" w:eastAsia="Calibri" w:hAnsi="Century Gothic" w:cs="Century Gothic"/>
          <w:i/>
          <w:lang w:val="en-US" w:eastAsia="pt-BR"/>
        </w:rPr>
        <w:t xml:space="preserve"> </w:t>
      </w:r>
      <w:r w:rsidRPr="00B13DEF">
        <w:rPr>
          <w:rFonts w:ascii="Century Gothic" w:eastAsia="Calibri" w:hAnsi="Century Gothic" w:cs="Century Gothic"/>
          <w:lang w:val="en-US" w:eastAsia="pt-BR"/>
        </w:rPr>
        <w:t xml:space="preserve">Fluorescence development after incubation with </w:t>
      </w:r>
      <w:proofErr w:type="spellStart"/>
      <w:r w:rsidRPr="00B13DEF">
        <w:rPr>
          <w:rFonts w:ascii="Century Gothic" w:eastAsia="Calibri" w:hAnsi="Century Gothic" w:cs="Century Gothic"/>
          <w:lang w:val="en-US" w:eastAsia="pt-BR"/>
        </w:rPr>
        <w:t>resazurin</w:t>
      </w:r>
      <w:proofErr w:type="spellEnd"/>
      <w:r w:rsidRPr="00B13DEF">
        <w:rPr>
          <w:rFonts w:ascii="Century Gothic" w:eastAsia="Calibri" w:hAnsi="Century Gothic" w:cs="Century Gothic"/>
          <w:lang w:val="en-US" w:eastAsia="pt-BR"/>
        </w:rPr>
        <w:t>. Results were expressed as fluorescence arbitrary units (FAU). (B) Colorimetric MTT assay</w:t>
      </w:r>
      <w:r w:rsidRPr="00B13DEF">
        <w:rPr>
          <w:rFonts w:ascii="Century Gothic" w:eastAsia="Calibri" w:hAnsi="Century Gothic" w:cs="Arial"/>
          <w:lang w:val="en-US"/>
        </w:rPr>
        <w:t xml:space="preserve">. Cell metabolic viability was determined absorbance (ABS) quantification at 490 nm. Parasites were also treated with sodium </w:t>
      </w:r>
      <w:proofErr w:type="spellStart"/>
      <w:r w:rsidRPr="00B13DEF">
        <w:rPr>
          <w:rFonts w:ascii="Century Gothic" w:eastAsia="Calibri" w:hAnsi="Century Gothic" w:cs="Arial"/>
          <w:lang w:val="en-US"/>
        </w:rPr>
        <w:t>azide</w:t>
      </w:r>
      <w:proofErr w:type="spellEnd"/>
      <w:r w:rsidRPr="00B13DEF">
        <w:rPr>
          <w:rFonts w:ascii="Century Gothic" w:eastAsia="Calibri" w:hAnsi="Century Gothic" w:cs="Arial"/>
          <w:lang w:val="en-US"/>
        </w:rPr>
        <w:t xml:space="preserve"> </w:t>
      </w:r>
      <w:proofErr w:type="gramStart"/>
      <w:r w:rsidRPr="00B13DEF">
        <w:rPr>
          <w:rFonts w:ascii="Century Gothic" w:eastAsia="Calibri" w:hAnsi="Century Gothic" w:cs="Arial"/>
          <w:lang w:val="en-US"/>
        </w:rPr>
        <w:t>in order to</w:t>
      </w:r>
      <w:proofErr w:type="gramEnd"/>
      <w:r w:rsidRPr="00B13DEF">
        <w:rPr>
          <w:rFonts w:ascii="Century Gothic" w:eastAsia="Calibri" w:hAnsi="Century Gothic" w:cs="Arial"/>
          <w:lang w:val="en-US"/>
        </w:rPr>
        <w:t xml:space="preserve"> obtain non-viable cells to use as a positive control. </w:t>
      </w:r>
      <w:r w:rsidRPr="00B13DEF">
        <w:rPr>
          <w:rFonts w:ascii="Century Gothic" w:eastAsia="Calibri" w:hAnsi="Century Gothic" w:cs="Century Gothic"/>
          <w:lang w:val="en-US" w:eastAsia="pt-BR"/>
        </w:rPr>
        <w:t>Data shown are the mean ± standard deviation of three independent experiments performed in triplicate. (</w:t>
      </w:r>
      <w:proofErr w:type="gramStart"/>
      <w:r w:rsidRPr="00B13DEF">
        <w:rPr>
          <w:rFonts w:ascii="Century Gothic" w:eastAsia="Calibri" w:hAnsi="Century Gothic" w:cs="Arial"/>
          <w:lang w:val="en-US"/>
        </w:rPr>
        <w:t>C,D</w:t>
      </w:r>
      <w:proofErr w:type="gramEnd"/>
      <w:r w:rsidRPr="00B13DEF">
        <w:rPr>
          <w:rFonts w:ascii="Century Gothic" w:eastAsia="Calibri" w:hAnsi="Century Gothic" w:cs="Arial"/>
          <w:lang w:val="en-US"/>
        </w:rPr>
        <w:t xml:space="preserve">) </w:t>
      </w:r>
      <w:r w:rsidRPr="00B13DEF">
        <w:rPr>
          <w:rFonts w:ascii="Century Gothic" w:eastAsia="Calibri" w:hAnsi="Century Gothic" w:cs="Century Gothic"/>
          <w:lang w:val="en-US" w:eastAsia="pt-BR"/>
        </w:rPr>
        <w:t xml:space="preserve">Promastigotes were also incubated with </w:t>
      </w:r>
      <w:proofErr w:type="spellStart"/>
      <w:r w:rsidRPr="00B13DEF">
        <w:rPr>
          <w:rFonts w:ascii="Century Gothic" w:eastAsia="Calibri" w:hAnsi="Century Gothic" w:cs="Century Gothic"/>
          <w:lang w:val="en-US" w:eastAsia="pt-BR"/>
        </w:rPr>
        <w:t>propidium</w:t>
      </w:r>
      <w:proofErr w:type="spellEnd"/>
      <w:r w:rsidRPr="00B13DEF">
        <w:rPr>
          <w:rFonts w:ascii="Century Gothic" w:eastAsia="Calibri" w:hAnsi="Century Gothic" w:cs="Century Gothic"/>
          <w:lang w:val="en-US" w:eastAsia="pt-BR"/>
        </w:rPr>
        <w:t xml:space="preserve"> iodide (PI) and subsequently analyzed by flow cytometry. </w:t>
      </w:r>
      <w:r w:rsidRPr="00B13DEF">
        <w:rPr>
          <w:rFonts w:ascii="Century Gothic" w:eastAsia="Calibri" w:hAnsi="Century Gothic" w:cs="Arial"/>
          <w:lang w:val="en-US"/>
        </w:rPr>
        <w:t>Data were expressed as the m</w:t>
      </w:r>
      <w:r w:rsidRPr="00B13DEF">
        <w:rPr>
          <w:rFonts w:ascii="Century Gothic" w:eastAsia="Calibri" w:hAnsi="Century Gothic" w:cs="Arial"/>
          <w:color w:val="212121"/>
          <w:lang w:val="en-US"/>
        </w:rPr>
        <w:t>ean fluorescence intensity (MFI) (C) and as the percentage of fluorescent cells (% FC) (D)</w:t>
      </w:r>
      <w:r w:rsidRPr="00B13DEF">
        <w:rPr>
          <w:rFonts w:ascii="Century Gothic" w:eastAsia="Calibri" w:hAnsi="Century Gothic" w:cs="AdvP403A40"/>
          <w:lang w:val="en-US"/>
        </w:rPr>
        <w:t xml:space="preserve">. Boiled cells were used as positive control of cell membrane disruption. </w:t>
      </w:r>
      <w:r w:rsidRPr="00B13DEF">
        <w:rPr>
          <w:rFonts w:ascii="Century Gothic" w:eastAsia="Calibri" w:hAnsi="Century Gothic" w:cs="Century Gothic"/>
          <w:lang w:val="en-US" w:eastAsia="pt-BR"/>
        </w:rPr>
        <w:t xml:space="preserve">Representative data of the analysis of 10,000 cells in experiments performed in </w:t>
      </w:r>
      <w:r w:rsidRPr="00B13DEF">
        <w:rPr>
          <w:rFonts w:ascii="Century Gothic" w:eastAsia="Calibri" w:hAnsi="Century Gothic" w:cs="Century Gothic"/>
          <w:lang w:val="en-US" w:eastAsia="pt-BR"/>
        </w:rPr>
        <w:lastRenderedPageBreak/>
        <w:t xml:space="preserve">triplicate are shown. </w:t>
      </w:r>
      <w:r w:rsidRPr="00B13DEF">
        <w:rPr>
          <w:rFonts w:ascii="Century Gothic" w:eastAsia="Calibri" w:hAnsi="Century Gothic" w:cs="Arial"/>
          <w:lang w:val="en-US"/>
        </w:rPr>
        <w:t>The asterisks denote statistic difference to WT promastigotes (</w:t>
      </w:r>
      <w:r w:rsidRPr="00B13DEF">
        <w:rPr>
          <w:rFonts w:ascii="Century Gothic" w:eastAsia="Calibri" w:hAnsi="Century Gothic" w:cs="Arial"/>
          <w:i/>
          <w:lang w:val="en-US"/>
        </w:rPr>
        <w:t>P</w:t>
      </w:r>
      <w:r w:rsidRPr="00B13DEF">
        <w:rPr>
          <w:rFonts w:ascii="Century Gothic" w:eastAsia="Calibri" w:hAnsi="Century Gothic" w:cs="Arial"/>
          <w:lang w:val="en-US"/>
        </w:rPr>
        <w:t>&lt;0.05).</w:t>
      </w:r>
      <w:r w:rsidRPr="00B13DEF">
        <w:rPr>
          <w:rFonts w:ascii="Century Gothic" w:eastAsia="Calibri" w:hAnsi="Century Gothic" w:cs="Century Gothic"/>
          <w:lang w:val="en-US" w:eastAsia="pt-BR"/>
        </w:rPr>
        <w:t xml:space="preserve"> </w:t>
      </w:r>
    </w:p>
    <w:p w:rsidR="007A35F3" w:rsidRDefault="007A35F3">
      <w:pPr>
        <w:rPr>
          <w:rFonts w:ascii="Century Gothic" w:eastAsia="Calibri" w:hAnsi="Century Gothic" w:cs="Century Gothic"/>
          <w:lang w:val="en-US" w:eastAsia="pt-BR"/>
        </w:rPr>
      </w:pPr>
      <w:r>
        <w:rPr>
          <w:rFonts w:ascii="Century Gothic" w:eastAsia="Calibri" w:hAnsi="Century Gothic" w:cs="Century Gothic"/>
          <w:lang w:val="en-US" w:eastAsia="pt-BR"/>
        </w:rPr>
        <w:br w:type="page"/>
      </w:r>
    </w:p>
    <w:p w:rsidR="00B13DEF" w:rsidRPr="00B13DEF" w:rsidRDefault="007A35F3" w:rsidP="00B13DEF">
      <w:pPr>
        <w:autoSpaceDE w:val="0"/>
        <w:autoSpaceDN w:val="0"/>
        <w:adjustRightInd w:val="0"/>
        <w:spacing w:after="0" w:line="480" w:lineRule="auto"/>
        <w:ind w:right="-34"/>
        <w:contextualSpacing/>
        <w:jc w:val="both"/>
        <w:rPr>
          <w:rFonts w:ascii="Century Gothic" w:eastAsia="Calibri" w:hAnsi="Century Gothic" w:cs="Century Gothic"/>
          <w:lang w:val="en-US" w:eastAsia="pt-BR"/>
        </w:rPr>
      </w:pPr>
      <w:bookmarkStart w:id="0" w:name="_GoBack"/>
      <w:r>
        <w:rPr>
          <w:rFonts w:ascii="Century Gothic" w:eastAsia="Calibri" w:hAnsi="Century Gothic" w:cs="Century Gothic"/>
          <w:noProof/>
          <w:lang w:val="en-US" w:eastAsia="pt-BR"/>
        </w:rPr>
        <w:lastRenderedPageBreak/>
        <w:drawing>
          <wp:inline distT="0" distB="0" distL="0" distR="0">
            <wp:extent cx="5098205" cy="463334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S2_Oliveira_et_al._2017.tif"/>
                    <pic:cNvPicPr/>
                  </pic:nvPicPr>
                  <pic:blipFill>
                    <a:blip r:embed="rId5">
                      <a:extLst>
                        <a:ext uri="{28A0092B-C50C-407E-A947-70E740481C1C}">
                          <a14:useLocalDpi xmlns:a14="http://schemas.microsoft.com/office/drawing/2010/main" val="0"/>
                        </a:ext>
                      </a:extLst>
                    </a:blip>
                    <a:stretch>
                      <a:fillRect/>
                    </a:stretch>
                  </pic:blipFill>
                  <pic:spPr>
                    <a:xfrm>
                      <a:off x="0" y="0"/>
                      <a:ext cx="5098205" cy="4633346"/>
                    </a:xfrm>
                    <a:prstGeom prst="rect">
                      <a:avLst/>
                    </a:prstGeom>
                  </pic:spPr>
                </pic:pic>
              </a:graphicData>
            </a:graphic>
          </wp:inline>
        </w:drawing>
      </w:r>
      <w:bookmarkEnd w:id="0"/>
    </w:p>
    <w:p w:rsidR="00B13DEF" w:rsidRPr="00B13DEF" w:rsidRDefault="00B13DEF" w:rsidP="00B13DEF">
      <w:pPr>
        <w:autoSpaceDE w:val="0"/>
        <w:autoSpaceDN w:val="0"/>
        <w:adjustRightInd w:val="0"/>
        <w:spacing w:after="0" w:line="480" w:lineRule="auto"/>
        <w:ind w:right="-34"/>
        <w:contextualSpacing/>
        <w:jc w:val="both"/>
        <w:rPr>
          <w:rFonts w:ascii="Century Gothic" w:eastAsia="Calibri" w:hAnsi="Century Gothic" w:cs="Century Gothic"/>
          <w:lang w:val="en-US" w:eastAsia="pt-BR"/>
        </w:rPr>
      </w:pPr>
      <w:r w:rsidRPr="00B13DEF">
        <w:rPr>
          <w:rFonts w:ascii="Century Gothic" w:eastAsia="Calibri" w:hAnsi="Century Gothic" w:cs="Century Gothic"/>
          <w:lang w:val="en-US" w:eastAsia="pt-BR"/>
        </w:rPr>
        <w:t>Fig. S2. Cell morphology and ultrastructural analysis of wild-type (WT) and MDL28170-resistant (MDL</w:t>
      </w:r>
      <w:r w:rsidRPr="00B13DEF">
        <w:rPr>
          <w:rFonts w:ascii="Century Gothic" w:eastAsia="Calibri" w:hAnsi="Century Gothic" w:cs="Century Gothic"/>
          <w:vertAlign w:val="superscript"/>
          <w:lang w:val="en-US" w:eastAsia="pt-BR"/>
        </w:rPr>
        <w:t>R</w:t>
      </w:r>
      <w:r w:rsidRPr="00B13DEF">
        <w:rPr>
          <w:rFonts w:ascii="Century Gothic" w:eastAsia="Calibri" w:hAnsi="Century Gothic" w:cs="Century Gothic"/>
          <w:lang w:val="en-US" w:eastAsia="pt-BR"/>
        </w:rPr>
        <w:t xml:space="preserve">) promastigotes of </w:t>
      </w:r>
      <w:r w:rsidRPr="00B13DEF">
        <w:rPr>
          <w:rFonts w:ascii="Century Gothic" w:eastAsia="Calibri" w:hAnsi="Century Gothic" w:cs="Century Gothic"/>
          <w:i/>
          <w:lang w:val="en-US" w:eastAsia="pt-BR"/>
        </w:rPr>
        <w:t xml:space="preserve">P. </w:t>
      </w:r>
      <w:proofErr w:type="spellStart"/>
      <w:r w:rsidRPr="00B13DEF">
        <w:rPr>
          <w:rFonts w:ascii="Century Gothic" w:eastAsia="Calibri" w:hAnsi="Century Gothic" w:cs="Century Gothic"/>
          <w:i/>
          <w:lang w:val="en-US" w:eastAsia="pt-BR"/>
        </w:rPr>
        <w:t>serpens</w:t>
      </w:r>
      <w:proofErr w:type="spellEnd"/>
      <w:r w:rsidRPr="00B13DEF">
        <w:rPr>
          <w:rFonts w:ascii="Century Gothic" w:eastAsia="Calibri" w:hAnsi="Century Gothic" w:cs="Century Gothic"/>
          <w:i/>
          <w:lang w:val="en-US" w:eastAsia="pt-BR"/>
        </w:rPr>
        <w:t xml:space="preserve">. </w:t>
      </w:r>
      <w:r w:rsidRPr="00B13DEF">
        <w:rPr>
          <w:rFonts w:ascii="Century Gothic" w:eastAsia="Calibri" w:hAnsi="Century Gothic" w:cs="Century Gothic"/>
          <w:lang w:val="en-US" w:eastAsia="pt-BR"/>
        </w:rPr>
        <w:t>(</w:t>
      </w:r>
      <w:r w:rsidRPr="00B13DEF">
        <w:rPr>
          <w:rFonts w:ascii="Century Gothic" w:eastAsia="Calibri" w:hAnsi="Century Gothic" w:cs="Arial"/>
          <w:lang w:val="en-US"/>
        </w:rPr>
        <w:t xml:space="preserve">A) Both populations were analyzed by flow cytometry </w:t>
      </w:r>
      <w:proofErr w:type="gramStart"/>
      <w:r w:rsidRPr="00B13DEF">
        <w:rPr>
          <w:rFonts w:ascii="Century Gothic" w:eastAsia="Calibri" w:hAnsi="Century Gothic" w:cs="Arial"/>
          <w:lang w:val="en-US"/>
        </w:rPr>
        <w:t>in order to</w:t>
      </w:r>
      <w:proofErr w:type="gramEnd"/>
      <w:r w:rsidRPr="00B13DEF">
        <w:rPr>
          <w:rFonts w:ascii="Century Gothic" w:eastAsia="Calibri" w:hAnsi="Century Gothic" w:cs="Arial"/>
          <w:lang w:val="en-US"/>
        </w:rPr>
        <w:t xml:space="preserve"> measure two cellular parameters, size and granularity, by forward scatter (FSC) and side scatter (SSC) measurements, respectively, and both were expressed as mean of fluorescence intensity (MFI). In the inset, Giemsa-stained smears of WT and </w:t>
      </w:r>
      <w:r w:rsidRPr="00B13DEF">
        <w:rPr>
          <w:rFonts w:ascii="Century Gothic" w:eastAsia="Calibri" w:hAnsi="Century Gothic" w:cs="Century Gothic"/>
          <w:lang w:val="en-US"/>
        </w:rPr>
        <w:t>MDL</w:t>
      </w:r>
      <w:r w:rsidRPr="00B13DEF">
        <w:rPr>
          <w:rFonts w:ascii="Century Gothic" w:eastAsia="Calibri" w:hAnsi="Century Gothic" w:cs="Century Gothic"/>
          <w:vertAlign w:val="superscript"/>
          <w:lang w:val="en-US"/>
        </w:rPr>
        <w:t>R</w:t>
      </w:r>
      <w:r w:rsidRPr="00B13DEF">
        <w:rPr>
          <w:rFonts w:ascii="Century Gothic" w:eastAsia="Calibri" w:hAnsi="Century Gothic" w:cs="Century Gothic"/>
          <w:lang w:val="en-US"/>
        </w:rPr>
        <w:t xml:space="preserve"> promastigotes of </w:t>
      </w:r>
      <w:r w:rsidRPr="00B13DEF">
        <w:rPr>
          <w:rFonts w:ascii="Century Gothic" w:eastAsia="Calibri" w:hAnsi="Century Gothic" w:cs="Arial"/>
          <w:i/>
          <w:lang w:val="en-US"/>
        </w:rPr>
        <w:t xml:space="preserve">P. </w:t>
      </w:r>
      <w:proofErr w:type="spellStart"/>
      <w:r w:rsidRPr="00B13DEF">
        <w:rPr>
          <w:rFonts w:ascii="Century Gothic" w:eastAsia="Calibri" w:hAnsi="Century Gothic" w:cs="Arial"/>
          <w:i/>
          <w:lang w:val="en-US"/>
        </w:rPr>
        <w:t>serpens</w:t>
      </w:r>
      <w:proofErr w:type="spellEnd"/>
      <w:r w:rsidRPr="00B13DEF">
        <w:rPr>
          <w:rFonts w:ascii="Century Gothic" w:eastAsia="Calibri" w:hAnsi="Century Gothic" w:cs="Arial"/>
          <w:i/>
          <w:lang w:val="en-US"/>
        </w:rPr>
        <w:t xml:space="preserve">. </w:t>
      </w:r>
      <w:r w:rsidRPr="00B13DEF">
        <w:rPr>
          <w:rFonts w:ascii="Century Gothic" w:eastAsia="Calibri" w:hAnsi="Century Gothic" w:cs="Arial"/>
          <w:lang w:val="en-US"/>
        </w:rPr>
        <w:t xml:space="preserve">k, </w:t>
      </w:r>
      <w:proofErr w:type="spellStart"/>
      <w:r w:rsidRPr="00B13DEF">
        <w:rPr>
          <w:rFonts w:ascii="Century Gothic" w:eastAsia="Calibri" w:hAnsi="Century Gothic" w:cs="Arial"/>
          <w:lang w:val="en-US"/>
        </w:rPr>
        <w:t>kinetoplast</w:t>
      </w:r>
      <w:proofErr w:type="spellEnd"/>
      <w:r w:rsidRPr="00B13DEF">
        <w:rPr>
          <w:rFonts w:ascii="Century Gothic" w:eastAsia="Calibri" w:hAnsi="Century Gothic" w:cs="Arial"/>
          <w:lang w:val="en-US"/>
        </w:rPr>
        <w:t>; n, nucleus; f, flagellum. (</w:t>
      </w:r>
      <w:r w:rsidRPr="00B13DEF">
        <w:rPr>
          <w:rFonts w:ascii="Century Gothic" w:eastAsia="Calibri" w:hAnsi="Century Gothic" w:cs="Century Gothic"/>
          <w:lang w:val="en-US" w:eastAsia="pt-BR"/>
        </w:rPr>
        <w:t xml:space="preserve">B) Scanning electron microscopy analysis of </w:t>
      </w:r>
      <w:r w:rsidRPr="00B13DEF">
        <w:rPr>
          <w:rFonts w:ascii="Century Gothic" w:eastAsia="Calibri" w:hAnsi="Century Gothic" w:cs="Arial"/>
          <w:lang w:val="en-US"/>
        </w:rPr>
        <w:t xml:space="preserve">WT and </w:t>
      </w:r>
      <w:r w:rsidRPr="00B13DEF">
        <w:rPr>
          <w:rFonts w:ascii="Century Gothic" w:eastAsia="Calibri" w:hAnsi="Century Gothic" w:cs="Century Gothic"/>
          <w:lang w:val="en-US"/>
        </w:rPr>
        <w:t>MDL</w:t>
      </w:r>
      <w:r w:rsidRPr="00B13DEF">
        <w:rPr>
          <w:rFonts w:ascii="Century Gothic" w:eastAsia="Calibri" w:hAnsi="Century Gothic" w:cs="Century Gothic"/>
          <w:vertAlign w:val="superscript"/>
          <w:lang w:val="en-US"/>
        </w:rPr>
        <w:t>R</w:t>
      </w:r>
      <w:r w:rsidRPr="00B13DEF">
        <w:rPr>
          <w:rFonts w:ascii="Century Gothic" w:eastAsia="Calibri" w:hAnsi="Century Gothic" w:cs="Century Gothic"/>
          <w:lang w:val="en-US"/>
        </w:rPr>
        <w:t xml:space="preserve"> promastigotes; note the presence of extracellular vesicles in different regions of the cell body, mainly in MDL</w:t>
      </w:r>
      <w:r w:rsidRPr="00B13DEF">
        <w:rPr>
          <w:rFonts w:ascii="Century Gothic" w:eastAsia="Calibri" w:hAnsi="Century Gothic" w:cs="Century Gothic"/>
          <w:vertAlign w:val="superscript"/>
          <w:lang w:val="en-US"/>
        </w:rPr>
        <w:t>R</w:t>
      </w:r>
      <w:r w:rsidRPr="00B13DEF">
        <w:rPr>
          <w:rFonts w:ascii="Century Gothic" w:eastAsia="Calibri" w:hAnsi="Century Gothic" w:cs="Century Gothic"/>
          <w:lang w:val="en-US"/>
        </w:rPr>
        <w:t xml:space="preserve"> cells. </w:t>
      </w:r>
      <w:r w:rsidRPr="00B13DEF">
        <w:rPr>
          <w:rFonts w:ascii="Century Gothic" w:eastAsia="Calibri" w:hAnsi="Century Gothic" w:cs="Century Gothic"/>
          <w:lang w:val="en-US" w:eastAsia="pt-BR"/>
        </w:rPr>
        <w:t>Bars: 5 µm. (C) Transmission electron microscopy analysis of WT (</w:t>
      </w:r>
      <w:proofErr w:type="spellStart"/>
      <w:proofErr w:type="gramStart"/>
      <w:r w:rsidRPr="00B13DEF">
        <w:rPr>
          <w:rFonts w:ascii="Century Gothic" w:eastAsia="Calibri" w:hAnsi="Century Gothic" w:cs="Century Gothic"/>
          <w:lang w:val="en-US" w:eastAsia="pt-BR"/>
        </w:rPr>
        <w:t>a,b</w:t>
      </w:r>
      <w:proofErr w:type="spellEnd"/>
      <w:proofErr w:type="gramEnd"/>
      <w:r w:rsidRPr="00B13DEF">
        <w:rPr>
          <w:rFonts w:ascii="Century Gothic" w:eastAsia="Calibri" w:hAnsi="Century Gothic" w:cs="Century Gothic"/>
          <w:lang w:val="en-US" w:eastAsia="pt-BR"/>
        </w:rPr>
        <w:t>) and MDL</w:t>
      </w:r>
      <w:r w:rsidRPr="00B13DEF">
        <w:rPr>
          <w:rFonts w:ascii="Century Gothic" w:eastAsia="Calibri" w:hAnsi="Century Gothic" w:cs="Century Gothic"/>
          <w:vertAlign w:val="superscript"/>
          <w:lang w:val="en-US" w:eastAsia="pt-BR"/>
        </w:rPr>
        <w:t>R</w:t>
      </w:r>
      <w:r w:rsidRPr="00B13DEF">
        <w:rPr>
          <w:rFonts w:ascii="Century Gothic" w:eastAsia="Calibri" w:hAnsi="Century Gothic" w:cs="Century Gothic"/>
          <w:lang w:val="en-US" w:eastAsia="pt-BR"/>
        </w:rPr>
        <w:t xml:space="preserve"> promastigotes (c-e). N, nucleus; </w:t>
      </w:r>
      <w:proofErr w:type="gramStart"/>
      <w:r w:rsidRPr="00B13DEF">
        <w:rPr>
          <w:rFonts w:ascii="Century Gothic" w:eastAsia="Calibri" w:hAnsi="Century Gothic" w:cs="Century Gothic"/>
          <w:lang w:val="en-US" w:eastAsia="pt-BR"/>
        </w:rPr>
        <w:t>M,  mitochondrion</w:t>
      </w:r>
      <w:proofErr w:type="gramEnd"/>
      <w:r w:rsidRPr="00B13DEF">
        <w:rPr>
          <w:rFonts w:ascii="Century Gothic" w:eastAsia="Calibri" w:hAnsi="Century Gothic" w:cs="Century Gothic"/>
          <w:lang w:val="en-US" w:eastAsia="pt-BR"/>
        </w:rPr>
        <w:t xml:space="preserve">; K, </w:t>
      </w:r>
      <w:proofErr w:type="spellStart"/>
      <w:r w:rsidRPr="00B13DEF">
        <w:rPr>
          <w:rFonts w:ascii="Century Gothic" w:eastAsia="Calibri" w:hAnsi="Century Gothic" w:cs="Century Gothic"/>
          <w:lang w:val="en-US" w:eastAsia="pt-BR"/>
        </w:rPr>
        <w:t>kinetoplast</w:t>
      </w:r>
      <w:proofErr w:type="spellEnd"/>
      <w:r w:rsidRPr="00B13DEF">
        <w:rPr>
          <w:rFonts w:ascii="Century Gothic" w:eastAsia="Calibri" w:hAnsi="Century Gothic" w:cs="Century Gothic"/>
          <w:lang w:val="en-US" w:eastAsia="pt-BR"/>
        </w:rPr>
        <w:t>; FP, flagellar pocket, ER, endoplasmic reticulum. MDL</w:t>
      </w:r>
      <w:r w:rsidRPr="00B13DEF">
        <w:rPr>
          <w:rFonts w:ascii="Century Gothic" w:eastAsia="Calibri" w:hAnsi="Century Gothic" w:cs="Century Gothic"/>
          <w:vertAlign w:val="superscript"/>
          <w:lang w:val="en-US" w:eastAsia="pt-BR"/>
        </w:rPr>
        <w:t>R</w:t>
      </w:r>
      <w:r w:rsidRPr="00B13DEF">
        <w:rPr>
          <w:rFonts w:ascii="Century Gothic" w:eastAsia="Calibri" w:hAnsi="Century Gothic" w:cs="Century Gothic"/>
          <w:lang w:val="en-US" w:eastAsia="pt-BR"/>
        </w:rPr>
        <w:t xml:space="preserve"> promastigotes (e) presented </w:t>
      </w:r>
      <w:proofErr w:type="spellStart"/>
      <w:r w:rsidRPr="00B13DEF">
        <w:rPr>
          <w:rFonts w:ascii="Century Gothic" w:eastAsia="Calibri" w:hAnsi="Century Gothic" w:cs="Century Gothic"/>
          <w:lang w:val="en-US" w:eastAsia="pt-BR"/>
        </w:rPr>
        <w:t>microvesicules</w:t>
      </w:r>
      <w:proofErr w:type="spellEnd"/>
      <w:r w:rsidRPr="00B13DEF">
        <w:rPr>
          <w:rFonts w:ascii="Century Gothic" w:eastAsia="Calibri" w:hAnsi="Century Gothic" w:cs="Century Gothic"/>
          <w:lang w:val="en-US" w:eastAsia="pt-BR"/>
        </w:rPr>
        <w:t xml:space="preserve"> </w:t>
      </w:r>
      <w:r w:rsidRPr="00B13DEF">
        <w:rPr>
          <w:rFonts w:ascii="Century Gothic" w:eastAsia="Calibri" w:hAnsi="Century Gothic" w:cs="Century Gothic"/>
          <w:lang w:val="en-US" w:eastAsia="pt-BR"/>
        </w:rPr>
        <w:lastRenderedPageBreak/>
        <w:t xml:space="preserve">inside the flagellar pocket (white arrows) that were also visible in the extracellular milieu (inset). Bars: 0.5 µm. </w:t>
      </w:r>
    </w:p>
    <w:p w:rsidR="00B13DEF" w:rsidRPr="00B13DEF" w:rsidRDefault="00B13DEF" w:rsidP="00B13DEF">
      <w:pPr>
        <w:autoSpaceDE w:val="0"/>
        <w:autoSpaceDN w:val="0"/>
        <w:adjustRightInd w:val="0"/>
        <w:spacing w:after="0" w:line="480" w:lineRule="auto"/>
        <w:ind w:right="-34"/>
        <w:contextualSpacing/>
        <w:jc w:val="both"/>
        <w:rPr>
          <w:rFonts w:ascii="Century Gothic" w:eastAsia="Calibri" w:hAnsi="Century Gothic" w:cs="Century Gothic"/>
          <w:lang w:val="en-US" w:eastAsia="pt-BR"/>
        </w:rPr>
      </w:pPr>
    </w:p>
    <w:p w:rsidR="003440D5" w:rsidRDefault="003440D5"/>
    <w:sectPr w:rsidR="003440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vP403A4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F"/>
    <w:rsid w:val="003440D5"/>
    <w:rsid w:val="007A35F3"/>
    <w:rsid w:val="00B13D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1CE88-80EF-4AB0-82CC-47FA2BE4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2</cp:revision>
  <dcterms:created xsi:type="dcterms:W3CDTF">2017-08-10T14:27:00Z</dcterms:created>
  <dcterms:modified xsi:type="dcterms:W3CDTF">2017-08-10T14:38:00Z</dcterms:modified>
</cp:coreProperties>
</file>