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467ED6" w14:textId="77777777" w:rsidR="00283F2A" w:rsidRPr="00283F2A" w:rsidRDefault="00283F2A" w:rsidP="00283F2A">
      <w:pPr>
        <w:spacing w:after="0" w:line="480" w:lineRule="auto"/>
        <w:rPr>
          <w:rFonts w:ascii="Times New Roman" w:eastAsia="Calibri" w:hAnsi="Times New Roman" w:cs="Times New Roman"/>
          <w:b/>
          <w:sz w:val="24"/>
          <w:szCs w:val="20"/>
        </w:rPr>
      </w:pPr>
      <w:bookmarkStart w:id="0" w:name="_GoBack"/>
      <w:bookmarkEnd w:id="0"/>
      <w:r w:rsidRPr="00283F2A">
        <w:rPr>
          <w:rFonts w:ascii="Times New Roman" w:eastAsia="Calibri" w:hAnsi="Times New Roman" w:cs="Times New Roman"/>
          <w:b/>
          <w:sz w:val="24"/>
          <w:szCs w:val="20"/>
        </w:rPr>
        <w:t>Supplementary material</w:t>
      </w:r>
    </w:p>
    <w:p w14:paraId="567C9209" w14:textId="77777777" w:rsidR="00283F2A" w:rsidRPr="00283F2A" w:rsidRDefault="00283F2A" w:rsidP="00283F2A">
      <w:pPr>
        <w:spacing w:after="0" w:line="480" w:lineRule="auto"/>
        <w:rPr>
          <w:rFonts w:ascii="Times New Roman" w:eastAsia="Calibri" w:hAnsi="Times New Roman" w:cs="Times New Roman"/>
          <w:b/>
          <w:i/>
          <w:sz w:val="24"/>
          <w:szCs w:val="24"/>
        </w:rPr>
      </w:pPr>
      <w:r w:rsidRPr="00283F2A">
        <w:rPr>
          <w:rFonts w:ascii="Times New Roman" w:eastAsia="Calibri" w:hAnsi="Times New Roman" w:cs="Times New Roman"/>
          <w:i/>
          <w:sz w:val="24"/>
          <w:szCs w:val="24"/>
        </w:rPr>
        <w:t>Herd size calculation</w:t>
      </w:r>
    </w:p>
    <w:p w14:paraId="03FB4940" w14:textId="77777777" w:rsidR="00283F2A" w:rsidRPr="00283F2A" w:rsidRDefault="00283F2A" w:rsidP="00283F2A">
      <w:pPr>
        <w:spacing w:after="0" w:line="480" w:lineRule="auto"/>
        <w:jc w:val="both"/>
        <w:rPr>
          <w:rFonts w:ascii="Times New Roman" w:eastAsia="Calibri" w:hAnsi="Times New Roman" w:cs="Times New Roman"/>
          <w:sz w:val="24"/>
          <w:szCs w:val="24"/>
        </w:rPr>
      </w:pPr>
      <w:r w:rsidRPr="00283F2A">
        <w:rPr>
          <w:rFonts w:ascii="Times New Roman" w:eastAsia="Calibri" w:hAnsi="Times New Roman" w:cs="Times New Roman"/>
          <w:sz w:val="24"/>
          <w:szCs w:val="24"/>
        </w:rPr>
        <w:t xml:space="preserve">Herd size was indicative of total herd size </w:t>
      </w:r>
      <w:proofErr w:type="gramStart"/>
      <w:r w:rsidRPr="00283F2A">
        <w:rPr>
          <w:rFonts w:ascii="Times New Roman" w:eastAsia="Calibri" w:hAnsi="Times New Roman" w:cs="Times New Roman"/>
          <w:sz w:val="24"/>
          <w:szCs w:val="24"/>
        </w:rPr>
        <w:t>in order to</w:t>
      </w:r>
      <w:proofErr w:type="gramEnd"/>
      <w:r w:rsidRPr="00283F2A">
        <w:rPr>
          <w:rFonts w:ascii="Times New Roman" w:eastAsia="Calibri" w:hAnsi="Times New Roman" w:cs="Times New Roman"/>
          <w:sz w:val="24"/>
          <w:szCs w:val="24"/>
        </w:rPr>
        <w:t xml:space="preserve"> capture the effect of chance interactions between the breeding herd and other animal groups. Animal identification and movement (AIM) data from the Department of Agriculture, Food and the Marine (DAFM) enabled total herd size to be calculated for years 2013-2015 inclusive (ending 31</w:t>
      </w:r>
      <w:r w:rsidRPr="00283F2A">
        <w:rPr>
          <w:rFonts w:ascii="Times New Roman" w:eastAsia="Calibri" w:hAnsi="Times New Roman" w:cs="Times New Roman"/>
          <w:sz w:val="24"/>
          <w:szCs w:val="24"/>
          <w:vertAlign w:val="superscript"/>
        </w:rPr>
        <w:t>st</w:t>
      </w:r>
      <w:r w:rsidRPr="00283F2A">
        <w:rPr>
          <w:rFonts w:ascii="Times New Roman" w:eastAsia="Calibri" w:hAnsi="Times New Roman" w:cs="Times New Roman"/>
          <w:sz w:val="24"/>
          <w:szCs w:val="24"/>
        </w:rPr>
        <w:t xml:space="preserve"> Dec each year), with the final herd size predicted from the mean of all three. The next step was to define the 33</w:t>
      </w:r>
      <w:r w:rsidRPr="00283F2A">
        <w:rPr>
          <w:rFonts w:ascii="Times New Roman" w:eastAsia="Calibri" w:hAnsi="Times New Roman" w:cs="Times New Roman"/>
          <w:sz w:val="24"/>
          <w:szCs w:val="24"/>
          <w:vertAlign w:val="superscript"/>
        </w:rPr>
        <w:t>rd</w:t>
      </w:r>
      <w:r w:rsidRPr="00283F2A">
        <w:rPr>
          <w:rFonts w:ascii="Times New Roman" w:eastAsia="Calibri" w:hAnsi="Times New Roman" w:cs="Times New Roman"/>
          <w:sz w:val="24"/>
          <w:szCs w:val="24"/>
        </w:rPr>
        <w:t xml:space="preserve"> percentile for herd size, which resulted in &lt;72 total animals on farm, below which herds were defined as small, and the 66</w:t>
      </w:r>
      <w:r w:rsidRPr="00283F2A">
        <w:rPr>
          <w:rFonts w:ascii="Times New Roman" w:eastAsia="Calibri" w:hAnsi="Times New Roman" w:cs="Times New Roman"/>
          <w:sz w:val="24"/>
          <w:szCs w:val="24"/>
          <w:vertAlign w:val="superscript"/>
        </w:rPr>
        <w:t>th</w:t>
      </w:r>
      <w:r w:rsidRPr="00283F2A">
        <w:rPr>
          <w:rFonts w:ascii="Times New Roman" w:eastAsia="Calibri" w:hAnsi="Times New Roman" w:cs="Times New Roman"/>
          <w:sz w:val="24"/>
          <w:szCs w:val="24"/>
        </w:rPr>
        <w:t xml:space="preserve"> percentile, which resulted in &gt;139 animals, above which herds were defined as being in the large category.</w:t>
      </w:r>
    </w:p>
    <w:p w14:paraId="5A35D7E4" w14:textId="77777777" w:rsidR="00283F2A" w:rsidRPr="00283F2A" w:rsidRDefault="00283F2A" w:rsidP="00283F2A">
      <w:pPr>
        <w:spacing w:after="0" w:line="480" w:lineRule="auto"/>
        <w:jc w:val="both"/>
        <w:rPr>
          <w:rFonts w:ascii="Times New Roman" w:eastAsia="Calibri" w:hAnsi="Times New Roman" w:cs="Times New Roman"/>
          <w:sz w:val="24"/>
          <w:szCs w:val="24"/>
        </w:rPr>
      </w:pPr>
    </w:p>
    <w:p w14:paraId="5EA83625" w14:textId="77777777" w:rsidR="00283F2A" w:rsidRPr="00283F2A" w:rsidRDefault="00283F2A" w:rsidP="00283F2A">
      <w:pPr>
        <w:spacing w:after="0" w:line="480" w:lineRule="auto"/>
        <w:rPr>
          <w:rFonts w:ascii="Times New Roman" w:eastAsia="Calibri" w:hAnsi="Times New Roman" w:cs="Times New Roman"/>
          <w:b/>
          <w:i/>
          <w:sz w:val="24"/>
          <w:szCs w:val="24"/>
        </w:rPr>
      </w:pPr>
      <w:r w:rsidRPr="00283F2A">
        <w:rPr>
          <w:rFonts w:ascii="Times New Roman" w:eastAsia="Calibri" w:hAnsi="Times New Roman" w:cs="Times New Roman"/>
          <w:i/>
          <w:sz w:val="24"/>
          <w:szCs w:val="24"/>
        </w:rPr>
        <w:t>Movement status calculation</w:t>
      </w:r>
    </w:p>
    <w:p w14:paraId="76320DFE" w14:textId="77777777" w:rsidR="00283F2A" w:rsidRPr="00283F2A" w:rsidRDefault="00283F2A" w:rsidP="00283F2A">
      <w:pPr>
        <w:spacing w:after="0" w:line="480" w:lineRule="auto"/>
        <w:jc w:val="both"/>
        <w:rPr>
          <w:rFonts w:ascii="Times New Roman" w:eastAsia="Calibri" w:hAnsi="Times New Roman" w:cs="Times New Roman"/>
          <w:sz w:val="24"/>
          <w:szCs w:val="24"/>
          <w:lang w:val="en-IE"/>
        </w:rPr>
      </w:pPr>
      <w:r w:rsidRPr="00283F2A">
        <w:rPr>
          <w:rFonts w:ascii="Times New Roman" w:eastAsia="Calibri" w:hAnsi="Times New Roman" w:cs="Times New Roman"/>
          <w:sz w:val="24"/>
          <w:szCs w:val="24"/>
        </w:rPr>
        <w:t>Using similar data from AIM for the years 2013-2015, movement status was defined as the proportion of animals moved into a herd within each year ending the 31</w:t>
      </w:r>
      <w:r w:rsidRPr="00283F2A">
        <w:rPr>
          <w:rFonts w:ascii="Times New Roman" w:eastAsia="Calibri" w:hAnsi="Times New Roman" w:cs="Times New Roman"/>
          <w:sz w:val="24"/>
          <w:szCs w:val="24"/>
          <w:vertAlign w:val="superscript"/>
        </w:rPr>
        <w:t>st</w:t>
      </w:r>
      <w:r w:rsidRPr="00283F2A">
        <w:rPr>
          <w:rFonts w:ascii="Times New Roman" w:eastAsia="Calibri" w:hAnsi="Times New Roman" w:cs="Times New Roman"/>
          <w:sz w:val="24"/>
          <w:szCs w:val="24"/>
        </w:rPr>
        <w:t xml:space="preserve"> December, in proportion to the total herd size at the beginning of that year. A threshold was agreed that displayed minimal animal introduction into a herd.</w:t>
      </w:r>
      <w:r w:rsidRPr="00283F2A">
        <w:rPr>
          <w:rFonts w:ascii="Times New Roman" w:eastAsia="Calibri" w:hAnsi="Times New Roman" w:cs="Times New Roman"/>
          <w:sz w:val="24"/>
          <w:szCs w:val="24"/>
          <w:lang w:val="en-IE"/>
        </w:rPr>
        <w:t xml:space="preserve"> For this </w:t>
      </w:r>
      <w:proofErr w:type="gramStart"/>
      <w:r w:rsidRPr="00283F2A">
        <w:rPr>
          <w:rFonts w:ascii="Times New Roman" w:eastAsia="Calibri" w:hAnsi="Times New Roman" w:cs="Times New Roman"/>
          <w:sz w:val="24"/>
          <w:szCs w:val="24"/>
          <w:lang w:val="en-IE"/>
        </w:rPr>
        <w:t>reason</w:t>
      </w:r>
      <w:proofErr w:type="gramEnd"/>
      <w:r w:rsidRPr="00283F2A">
        <w:rPr>
          <w:rFonts w:ascii="Times New Roman" w:eastAsia="Calibri" w:hAnsi="Times New Roman" w:cs="Times New Roman"/>
          <w:sz w:val="24"/>
          <w:szCs w:val="24"/>
          <w:lang w:val="en-IE"/>
        </w:rPr>
        <w:t xml:space="preserve"> the 33</w:t>
      </w:r>
      <w:r w:rsidRPr="00283F2A">
        <w:rPr>
          <w:rFonts w:ascii="Times New Roman" w:eastAsia="Calibri" w:hAnsi="Times New Roman" w:cs="Times New Roman"/>
          <w:sz w:val="24"/>
          <w:szCs w:val="24"/>
          <w:vertAlign w:val="superscript"/>
          <w:lang w:val="en-IE"/>
        </w:rPr>
        <w:t>rd</w:t>
      </w:r>
      <w:r w:rsidRPr="00283F2A">
        <w:rPr>
          <w:rFonts w:ascii="Times New Roman" w:eastAsia="Calibri" w:hAnsi="Times New Roman" w:cs="Times New Roman"/>
          <w:sz w:val="24"/>
          <w:szCs w:val="24"/>
          <w:lang w:val="en-IE"/>
        </w:rPr>
        <w:t xml:space="preserve"> and the 66</w:t>
      </w:r>
      <w:r w:rsidRPr="00283F2A">
        <w:rPr>
          <w:rFonts w:ascii="Times New Roman" w:eastAsia="Calibri" w:hAnsi="Times New Roman" w:cs="Times New Roman"/>
          <w:sz w:val="24"/>
          <w:szCs w:val="24"/>
          <w:vertAlign w:val="superscript"/>
          <w:lang w:val="en-IE"/>
        </w:rPr>
        <w:t>th</w:t>
      </w:r>
      <w:r w:rsidRPr="00283F2A">
        <w:rPr>
          <w:rFonts w:ascii="Times New Roman" w:eastAsia="Calibri" w:hAnsi="Times New Roman" w:cs="Times New Roman"/>
          <w:sz w:val="24"/>
          <w:szCs w:val="24"/>
          <w:lang w:val="en-IE"/>
        </w:rPr>
        <w:t xml:space="preserve"> percentile of the grand mean of movements from all three years, provided sensible thresholds. When ranking herds based on this parameter, below 6% (33</w:t>
      </w:r>
      <w:r w:rsidRPr="00283F2A">
        <w:rPr>
          <w:rFonts w:ascii="Times New Roman" w:eastAsia="Calibri" w:hAnsi="Times New Roman" w:cs="Times New Roman"/>
          <w:sz w:val="24"/>
          <w:szCs w:val="24"/>
          <w:vertAlign w:val="superscript"/>
          <w:lang w:val="en-IE"/>
        </w:rPr>
        <w:t>rd</w:t>
      </w:r>
      <w:r w:rsidRPr="00283F2A">
        <w:rPr>
          <w:rFonts w:ascii="Times New Roman" w:eastAsia="Calibri" w:hAnsi="Times New Roman" w:cs="Times New Roman"/>
          <w:sz w:val="24"/>
          <w:szCs w:val="24"/>
          <w:lang w:val="en-IE"/>
        </w:rPr>
        <w:t xml:space="preserve"> percentile) </w:t>
      </w:r>
      <w:proofErr w:type="gramStart"/>
      <w:r w:rsidRPr="00283F2A">
        <w:rPr>
          <w:rFonts w:ascii="Times New Roman" w:eastAsia="Calibri" w:hAnsi="Times New Roman" w:cs="Times New Roman"/>
          <w:sz w:val="24"/>
          <w:szCs w:val="24"/>
          <w:lang w:val="en-IE"/>
        </w:rPr>
        <w:t>was considered to be</w:t>
      </w:r>
      <w:proofErr w:type="gramEnd"/>
      <w:r w:rsidRPr="00283F2A">
        <w:rPr>
          <w:rFonts w:ascii="Times New Roman" w:eastAsia="Calibri" w:hAnsi="Times New Roman" w:cs="Times New Roman"/>
          <w:sz w:val="24"/>
          <w:szCs w:val="24"/>
          <w:lang w:val="en-IE"/>
        </w:rPr>
        <w:t xml:space="preserve"> a herd almost practicing a closed herd policy (‘Low move’), and above 18% (66</w:t>
      </w:r>
      <w:r w:rsidRPr="00283F2A">
        <w:rPr>
          <w:rFonts w:ascii="Times New Roman" w:eastAsia="Calibri" w:hAnsi="Times New Roman" w:cs="Times New Roman"/>
          <w:sz w:val="24"/>
          <w:szCs w:val="24"/>
          <w:vertAlign w:val="superscript"/>
          <w:lang w:val="en-IE"/>
        </w:rPr>
        <w:t>th</w:t>
      </w:r>
      <w:r w:rsidRPr="00283F2A">
        <w:rPr>
          <w:rFonts w:ascii="Times New Roman" w:eastAsia="Calibri" w:hAnsi="Times New Roman" w:cs="Times New Roman"/>
          <w:sz w:val="24"/>
          <w:szCs w:val="24"/>
          <w:lang w:val="en-IE"/>
        </w:rPr>
        <w:t xml:space="preserve"> percentile) was indicative </w:t>
      </w:r>
      <w:r w:rsidRPr="00283F2A">
        <w:rPr>
          <w:rFonts w:ascii="Times New Roman" w:eastAsia="Calibri" w:hAnsi="Times New Roman" w:cs="Times New Roman"/>
          <w:sz w:val="24"/>
          <w:szCs w:val="24"/>
        </w:rPr>
        <w:t xml:space="preserve">of a herd with a high level of annual purchases </w:t>
      </w:r>
      <w:r w:rsidRPr="00283F2A">
        <w:rPr>
          <w:rFonts w:ascii="Times New Roman" w:eastAsia="Calibri" w:hAnsi="Times New Roman" w:cs="Times New Roman"/>
          <w:sz w:val="24"/>
          <w:szCs w:val="24"/>
          <w:lang w:val="en-IE"/>
        </w:rPr>
        <w:t xml:space="preserve">‘High move’ herd.  </w:t>
      </w:r>
    </w:p>
    <w:p w14:paraId="794FC055" w14:textId="77777777" w:rsidR="00283F2A" w:rsidRPr="00283F2A" w:rsidRDefault="00283F2A" w:rsidP="00283F2A">
      <w:pPr>
        <w:spacing w:after="0" w:line="480" w:lineRule="auto"/>
        <w:jc w:val="both"/>
        <w:rPr>
          <w:rFonts w:ascii="Times New Roman" w:eastAsia="Calibri" w:hAnsi="Times New Roman" w:cs="Times New Roman"/>
          <w:sz w:val="24"/>
          <w:szCs w:val="24"/>
        </w:rPr>
      </w:pPr>
    </w:p>
    <w:p w14:paraId="03926ED9" w14:textId="77777777" w:rsidR="00283F2A" w:rsidRPr="00283F2A" w:rsidRDefault="00283F2A" w:rsidP="00283F2A">
      <w:pPr>
        <w:spacing w:after="0" w:line="480" w:lineRule="auto"/>
        <w:rPr>
          <w:rFonts w:ascii="Times New Roman" w:eastAsia="Calibri" w:hAnsi="Times New Roman" w:cs="Times New Roman"/>
          <w:i/>
          <w:sz w:val="24"/>
          <w:szCs w:val="24"/>
        </w:rPr>
      </w:pPr>
      <w:r w:rsidRPr="00283F2A">
        <w:rPr>
          <w:rFonts w:ascii="Times New Roman" w:eastAsia="Calibri" w:hAnsi="Times New Roman" w:cs="Times New Roman"/>
          <w:i/>
          <w:sz w:val="24"/>
          <w:szCs w:val="24"/>
        </w:rPr>
        <w:t>Vaccination status calculation</w:t>
      </w:r>
    </w:p>
    <w:p w14:paraId="23B338F3" w14:textId="77777777" w:rsidR="00283F2A" w:rsidRPr="00283F2A" w:rsidRDefault="00283F2A" w:rsidP="00283F2A">
      <w:pPr>
        <w:spacing w:after="0" w:line="480" w:lineRule="auto"/>
        <w:jc w:val="both"/>
        <w:rPr>
          <w:rFonts w:ascii="Times New Roman" w:eastAsia="Calibri" w:hAnsi="Times New Roman" w:cs="Times New Roman"/>
          <w:bCs/>
          <w:iCs/>
          <w:sz w:val="24"/>
          <w:szCs w:val="20"/>
        </w:rPr>
      </w:pPr>
      <w:r w:rsidRPr="00283F2A">
        <w:rPr>
          <w:rFonts w:ascii="Times New Roman" w:eastAsia="Calibri" w:hAnsi="Times New Roman" w:cs="Times New Roman"/>
          <w:sz w:val="24"/>
          <w:szCs w:val="24"/>
        </w:rPr>
        <w:t xml:space="preserve">Each farm participating in the </w:t>
      </w:r>
      <w:r w:rsidRPr="00283F2A">
        <w:rPr>
          <w:rFonts w:ascii="Times New Roman" w:eastAsia="Calibri" w:hAnsi="Times New Roman" w:cs="Times New Roman"/>
          <w:bCs/>
          <w:iCs/>
          <w:sz w:val="24"/>
          <w:szCs w:val="20"/>
        </w:rPr>
        <w:t xml:space="preserve">epidemiological study (short title, </w:t>
      </w:r>
      <w:proofErr w:type="spellStart"/>
      <w:r w:rsidRPr="00283F2A">
        <w:rPr>
          <w:rFonts w:ascii="Times New Roman" w:eastAsia="Calibri" w:hAnsi="Times New Roman" w:cs="Times New Roman"/>
          <w:bCs/>
          <w:i/>
          <w:iCs/>
          <w:sz w:val="24"/>
          <w:szCs w:val="20"/>
        </w:rPr>
        <w:t>BeefCow</w:t>
      </w:r>
      <w:proofErr w:type="spellEnd"/>
      <w:r w:rsidRPr="00283F2A">
        <w:rPr>
          <w:rFonts w:ascii="Times New Roman" w:eastAsia="Calibri" w:hAnsi="Times New Roman" w:cs="Times New Roman"/>
          <w:bCs/>
          <w:iCs/>
          <w:sz w:val="24"/>
          <w:szCs w:val="20"/>
        </w:rPr>
        <w:t xml:space="preserve">), received a brief questionnaire which was used to determine reproductive management strategies carried out on each holding. Each producer outlined their vaccination policy with regards to BHV-1, </w:t>
      </w:r>
      <w:proofErr w:type="spellStart"/>
      <w:r w:rsidRPr="00283F2A">
        <w:rPr>
          <w:rFonts w:ascii="Times New Roman" w:eastAsia="Calibri" w:hAnsi="Times New Roman" w:cs="Times New Roman"/>
          <w:bCs/>
          <w:iCs/>
          <w:sz w:val="24"/>
          <w:szCs w:val="20"/>
        </w:rPr>
        <w:t>BVDv</w:t>
      </w:r>
      <w:proofErr w:type="spellEnd"/>
      <w:r w:rsidRPr="00283F2A">
        <w:rPr>
          <w:rFonts w:ascii="Times New Roman" w:eastAsia="Calibri" w:hAnsi="Times New Roman" w:cs="Times New Roman"/>
          <w:bCs/>
          <w:iCs/>
          <w:sz w:val="24"/>
          <w:szCs w:val="20"/>
        </w:rPr>
        <w:t xml:space="preserve">, </w:t>
      </w:r>
      <w:r w:rsidRPr="00283F2A">
        <w:rPr>
          <w:rFonts w:ascii="Times New Roman" w:eastAsia="Calibri" w:hAnsi="Times New Roman" w:cs="Times New Roman"/>
          <w:bCs/>
          <w:iCs/>
          <w:sz w:val="24"/>
          <w:szCs w:val="20"/>
        </w:rPr>
        <w:lastRenderedPageBreak/>
        <w:t xml:space="preserve">Leptospirosis and </w:t>
      </w:r>
      <w:proofErr w:type="spellStart"/>
      <w:r w:rsidRPr="00283F2A">
        <w:rPr>
          <w:rFonts w:ascii="Times New Roman" w:eastAsia="Calibri" w:hAnsi="Times New Roman" w:cs="Times New Roman"/>
          <w:bCs/>
          <w:i/>
          <w:iCs/>
          <w:sz w:val="24"/>
          <w:szCs w:val="20"/>
        </w:rPr>
        <w:t>Neospora</w:t>
      </w:r>
      <w:proofErr w:type="spellEnd"/>
      <w:r w:rsidRPr="00283F2A">
        <w:rPr>
          <w:rFonts w:ascii="Times New Roman" w:eastAsia="Calibri" w:hAnsi="Times New Roman" w:cs="Times New Roman"/>
          <w:bCs/>
          <w:i/>
          <w:iCs/>
          <w:sz w:val="24"/>
          <w:szCs w:val="20"/>
        </w:rPr>
        <w:t xml:space="preserve"> Caninum</w:t>
      </w:r>
      <w:r w:rsidRPr="00283F2A">
        <w:rPr>
          <w:rFonts w:ascii="Times New Roman" w:eastAsia="Calibri" w:hAnsi="Times New Roman" w:cs="Times New Roman"/>
          <w:bCs/>
          <w:iCs/>
          <w:sz w:val="24"/>
          <w:szCs w:val="20"/>
        </w:rPr>
        <w:t xml:space="preserve">, which subsequently allowed for herds actively vaccinating for BHV-1to be identified.    </w:t>
      </w:r>
    </w:p>
    <w:p w14:paraId="2D9C8C02" w14:textId="77777777" w:rsidR="00283F2A" w:rsidRPr="00283F2A" w:rsidRDefault="00283F2A" w:rsidP="00283F2A">
      <w:pPr>
        <w:spacing w:after="0" w:line="480" w:lineRule="auto"/>
        <w:ind w:firstLine="720"/>
        <w:jc w:val="both"/>
        <w:rPr>
          <w:rFonts w:ascii="Times New Roman" w:eastAsia="Calibri" w:hAnsi="Times New Roman" w:cs="Times New Roman"/>
          <w:sz w:val="24"/>
          <w:szCs w:val="24"/>
        </w:rPr>
      </w:pPr>
    </w:p>
    <w:p w14:paraId="69B3F860" w14:textId="77777777" w:rsidR="00283F2A" w:rsidRPr="00283F2A" w:rsidRDefault="00283F2A" w:rsidP="00283F2A">
      <w:pPr>
        <w:spacing w:after="0" w:line="480" w:lineRule="auto"/>
        <w:rPr>
          <w:rFonts w:ascii="Times New Roman" w:eastAsia="Calibri" w:hAnsi="Times New Roman" w:cs="Times New Roman"/>
          <w:i/>
          <w:sz w:val="24"/>
          <w:szCs w:val="24"/>
        </w:rPr>
      </w:pPr>
      <w:r w:rsidRPr="00283F2A">
        <w:rPr>
          <w:rFonts w:ascii="Times New Roman" w:eastAsia="Calibri" w:hAnsi="Times New Roman" w:cs="Times New Roman"/>
          <w:i/>
          <w:sz w:val="24"/>
          <w:szCs w:val="24"/>
        </w:rPr>
        <w:t>Omitted risk factors</w:t>
      </w:r>
    </w:p>
    <w:p w14:paraId="384C57F0" w14:textId="77777777" w:rsidR="00283F2A" w:rsidRPr="00283F2A" w:rsidRDefault="00283F2A" w:rsidP="00283F2A">
      <w:pPr>
        <w:spacing w:after="0" w:line="480" w:lineRule="auto"/>
        <w:jc w:val="both"/>
        <w:rPr>
          <w:rFonts w:ascii="Times New Roman" w:eastAsia="Calibri" w:hAnsi="Times New Roman" w:cs="Times New Roman"/>
          <w:sz w:val="24"/>
          <w:szCs w:val="24"/>
        </w:rPr>
      </w:pPr>
      <w:r w:rsidRPr="00283F2A">
        <w:rPr>
          <w:rFonts w:ascii="Times New Roman" w:eastAsia="Calibri" w:hAnsi="Times New Roman" w:cs="Times New Roman"/>
          <w:sz w:val="24"/>
          <w:szCs w:val="24"/>
        </w:rPr>
        <w:t xml:space="preserve">The level of naïve individuals within a herd has a large effect on the disruptive outcome of BHV-1 introduction. </w:t>
      </w:r>
      <w:proofErr w:type="spellStart"/>
      <w:r w:rsidRPr="00283F2A">
        <w:rPr>
          <w:rFonts w:ascii="Times New Roman" w:eastAsia="Calibri" w:hAnsi="Times New Roman" w:cs="Times New Roman"/>
          <w:sz w:val="24"/>
          <w:szCs w:val="24"/>
        </w:rPr>
        <w:t>Raaperi</w:t>
      </w:r>
      <w:proofErr w:type="spellEnd"/>
      <w:r w:rsidRPr="00283F2A">
        <w:rPr>
          <w:rFonts w:ascii="Times New Roman" w:eastAsia="Calibri" w:hAnsi="Times New Roman" w:cs="Times New Roman"/>
          <w:sz w:val="24"/>
          <w:szCs w:val="24"/>
        </w:rPr>
        <w:t xml:space="preserve"> </w:t>
      </w:r>
      <w:r w:rsidRPr="00283F2A">
        <w:rPr>
          <w:rFonts w:ascii="Times New Roman" w:eastAsia="Calibri" w:hAnsi="Times New Roman" w:cs="Times New Roman"/>
          <w:i/>
          <w:iCs/>
          <w:sz w:val="24"/>
          <w:szCs w:val="24"/>
        </w:rPr>
        <w:t>et al.</w:t>
      </w:r>
      <w:r w:rsidRPr="00283F2A">
        <w:rPr>
          <w:rFonts w:ascii="Times New Roman" w:eastAsia="Calibri" w:hAnsi="Times New Roman" w:cs="Times New Roman"/>
          <w:sz w:val="24"/>
          <w:szCs w:val="24"/>
        </w:rPr>
        <w:t xml:space="preserve"> (2012) indicated that a prolonged low level of herd seroprevalence for BHV-1creates a pool of susceptible individuals, which the authors indicated would leave the herd vulnerable to reproductive disorders upon viral introduction. In concurrence with this, </w:t>
      </w:r>
      <w:proofErr w:type="spellStart"/>
      <w:r w:rsidRPr="00283F2A">
        <w:rPr>
          <w:rFonts w:ascii="Times New Roman" w:eastAsia="Calibri" w:hAnsi="Times New Roman" w:cs="Times New Roman"/>
          <w:sz w:val="24"/>
          <w:szCs w:val="24"/>
        </w:rPr>
        <w:t>Lassen</w:t>
      </w:r>
      <w:proofErr w:type="spellEnd"/>
      <w:r w:rsidRPr="00283F2A">
        <w:rPr>
          <w:rFonts w:ascii="Times New Roman" w:eastAsia="Calibri" w:hAnsi="Times New Roman" w:cs="Times New Roman"/>
          <w:sz w:val="24"/>
          <w:szCs w:val="24"/>
        </w:rPr>
        <w:t xml:space="preserve"> </w:t>
      </w:r>
      <w:r w:rsidRPr="00283F2A">
        <w:rPr>
          <w:rFonts w:ascii="Times New Roman" w:eastAsia="Calibri" w:hAnsi="Times New Roman" w:cs="Times New Roman"/>
          <w:i/>
          <w:iCs/>
          <w:sz w:val="24"/>
          <w:szCs w:val="24"/>
        </w:rPr>
        <w:t>et al</w:t>
      </w:r>
      <w:r w:rsidRPr="00283F2A">
        <w:rPr>
          <w:rFonts w:ascii="Times New Roman" w:eastAsia="Calibri" w:hAnsi="Times New Roman" w:cs="Times New Roman"/>
          <w:sz w:val="24"/>
          <w:szCs w:val="24"/>
        </w:rPr>
        <w:t xml:space="preserve">. (2012) demonstrated how the odds ratio of reproductive failure increased linearly as herd seroprevalence increased. In this study, however, it was not possible to establish whether the virus was in an active or a latent state within individuals, which may ultimately lead to differences in viral outcomes. Herd seroprevalence was therefore identified as a significant contributor to BHV-1 pathogenicity; </w:t>
      </w:r>
      <w:proofErr w:type="gramStart"/>
      <w:r w:rsidRPr="00283F2A">
        <w:rPr>
          <w:rFonts w:ascii="Times New Roman" w:eastAsia="Calibri" w:hAnsi="Times New Roman" w:cs="Times New Roman"/>
          <w:sz w:val="24"/>
          <w:szCs w:val="24"/>
        </w:rPr>
        <w:t>however</w:t>
      </w:r>
      <w:proofErr w:type="gramEnd"/>
      <w:r w:rsidRPr="00283F2A">
        <w:rPr>
          <w:rFonts w:ascii="Times New Roman" w:eastAsia="Calibri" w:hAnsi="Times New Roman" w:cs="Times New Roman"/>
          <w:sz w:val="24"/>
          <w:szCs w:val="24"/>
        </w:rPr>
        <w:t xml:space="preserve"> the decision was taken to omit herd seroprevalence as a risk factor, in the absence of accurate data on seroprevalence levels of nonbreeding animals within herds.</w:t>
      </w:r>
    </w:p>
    <w:p w14:paraId="63D65C97" w14:textId="77777777" w:rsidR="00283F2A" w:rsidRPr="00283F2A" w:rsidRDefault="00283F2A" w:rsidP="00283F2A">
      <w:pPr>
        <w:spacing w:after="0" w:line="480" w:lineRule="auto"/>
        <w:ind w:firstLine="720"/>
        <w:jc w:val="both"/>
        <w:rPr>
          <w:rFonts w:ascii="Times New Roman" w:eastAsia="Calibri" w:hAnsi="Times New Roman" w:cs="Times New Roman"/>
          <w:sz w:val="24"/>
          <w:szCs w:val="24"/>
        </w:rPr>
      </w:pPr>
      <w:r w:rsidRPr="00283F2A">
        <w:rPr>
          <w:rFonts w:ascii="Times New Roman" w:eastAsia="Calibri" w:hAnsi="Times New Roman" w:cs="Times New Roman"/>
          <w:sz w:val="24"/>
          <w:szCs w:val="24"/>
        </w:rPr>
        <w:t>Stocking rate was also not included as a risk factor.  This was due to the unavailability of information regarding the total area farmed for each herd sampled in the epidemiological study.</w:t>
      </w:r>
    </w:p>
    <w:p w14:paraId="31AAF4DB" w14:textId="77777777" w:rsidR="00283F2A" w:rsidRPr="00283F2A" w:rsidRDefault="00283F2A" w:rsidP="00283F2A">
      <w:pPr>
        <w:spacing w:after="0" w:line="480" w:lineRule="auto"/>
        <w:jc w:val="both"/>
        <w:rPr>
          <w:rFonts w:ascii="Times New Roman" w:eastAsia="Calibri" w:hAnsi="Times New Roman" w:cs="Times New Roman"/>
          <w:sz w:val="24"/>
          <w:szCs w:val="20"/>
        </w:rPr>
        <w:sectPr w:rsidR="00283F2A" w:rsidRPr="00283F2A" w:rsidSect="00283F2A">
          <w:headerReference w:type="default" r:id="rId4"/>
          <w:footerReference w:type="first" r:id="rId5"/>
          <w:pgSz w:w="11906" w:h="16838"/>
          <w:pgMar w:top="1440" w:right="1440" w:bottom="1440" w:left="1440" w:header="708" w:footer="708" w:gutter="0"/>
          <w:cols w:space="708"/>
          <w:titlePg/>
          <w:docGrid w:linePitch="360"/>
        </w:sectPr>
      </w:pPr>
      <w:r w:rsidRPr="00283F2A">
        <w:rPr>
          <w:rFonts w:ascii="Times New Roman" w:eastAsia="Calibri" w:hAnsi="Times New Roman" w:cs="Times New Roman"/>
          <w:b/>
          <w:sz w:val="24"/>
          <w:szCs w:val="24"/>
          <w:u w:val="single"/>
        </w:rPr>
        <w:br w:type="page"/>
      </w:r>
    </w:p>
    <w:p w14:paraId="068053E6" w14:textId="77777777" w:rsidR="00283F2A" w:rsidRPr="00283F2A" w:rsidRDefault="00283F2A" w:rsidP="00283F2A">
      <w:pPr>
        <w:spacing w:after="0" w:line="240" w:lineRule="auto"/>
        <w:rPr>
          <w:rFonts w:ascii="Times New Roman" w:eastAsia="Times New Roman" w:hAnsi="Times New Roman" w:cs="Times New Roman"/>
          <w:b/>
          <w:bCs/>
          <w:color w:val="000000"/>
          <w:sz w:val="20"/>
          <w:szCs w:val="20"/>
          <w:lang w:val="en-IE" w:eastAsia="en-IE"/>
        </w:rPr>
      </w:pPr>
      <w:r w:rsidRPr="00283F2A">
        <w:rPr>
          <w:rFonts w:ascii="Times New Roman" w:eastAsia="Times New Roman" w:hAnsi="Times New Roman" w:cs="Times New Roman"/>
          <w:b/>
          <w:bCs/>
          <w:color w:val="000000"/>
          <w:sz w:val="20"/>
          <w:szCs w:val="20"/>
          <w:lang w:eastAsia="en-IE"/>
        </w:rPr>
        <w:lastRenderedPageBreak/>
        <w:t xml:space="preserve">Supplementary table 1. </w:t>
      </w:r>
      <w:r w:rsidRPr="00283F2A">
        <w:rPr>
          <w:rFonts w:ascii="Times New Roman" w:eastAsia="Times New Roman" w:hAnsi="Times New Roman" w:cs="Times New Roman"/>
          <w:bCs/>
          <w:color w:val="000000"/>
          <w:sz w:val="20"/>
          <w:szCs w:val="20"/>
          <w:lang w:eastAsia="en-IE"/>
        </w:rPr>
        <w:t>Implications of BHV-1 seropositivity on mean values, SEM</w:t>
      </w:r>
      <w:r w:rsidRPr="00283F2A">
        <w:rPr>
          <w:rFonts w:ascii="Times New Roman" w:eastAsia="Times New Roman" w:hAnsi="Times New Roman" w:cs="Times New Roman"/>
          <w:bCs/>
          <w:color w:val="000000"/>
          <w:sz w:val="20"/>
          <w:szCs w:val="20"/>
          <w:vertAlign w:val="superscript"/>
          <w:lang w:eastAsia="en-IE"/>
        </w:rPr>
        <w:t xml:space="preserve"> </w:t>
      </w:r>
      <w:proofErr w:type="gramStart"/>
      <w:r w:rsidRPr="00283F2A">
        <w:rPr>
          <w:rFonts w:ascii="Times New Roman" w:eastAsia="Times New Roman" w:hAnsi="Times New Roman" w:cs="Times New Roman"/>
          <w:bCs/>
          <w:color w:val="000000"/>
          <w:sz w:val="20"/>
          <w:szCs w:val="20"/>
          <w:lang w:eastAsia="en-IE"/>
        </w:rPr>
        <w:t xml:space="preserve">( </w:t>
      </w:r>
      <w:r w:rsidRPr="00283F2A">
        <w:rPr>
          <w:rFonts w:ascii="Times New Roman" w:eastAsia="Times New Roman" w:hAnsi="Times New Roman" w:cs="Times New Roman"/>
          <w:color w:val="000000"/>
          <w:sz w:val="20"/>
          <w:szCs w:val="20"/>
          <w:lang w:eastAsia="en-IE"/>
        </w:rPr>
        <w:t>±</w:t>
      </w:r>
      <w:proofErr w:type="gramEnd"/>
      <w:r w:rsidRPr="00283F2A">
        <w:rPr>
          <w:rFonts w:ascii="Times New Roman" w:eastAsia="Times New Roman" w:hAnsi="Times New Roman" w:cs="Times New Roman"/>
          <w:color w:val="000000"/>
          <w:sz w:val="20"/>
          <w:szCs w:val="20"/>
          <w:lang w:eastAsia="en-IE"/>
        </w:rPr>
        <w:t xml:space="preserve"> ) </w:t>
      </w:r>
      <w:r w:rsidRPr="00283F2A">
        <w:rPr>
          <w:rFonts w:ascii="Times New Roman" w:eastAsia="Times New Roman" w:hAnsi="Times New Roman" w:cs="Times New Roman"/>
          <w:bCs/>
          <w:color w:val="000000"/>
          <w:sz w:val="20"/>
          <w:szCs w:val="20"/>
          <w:lang w:eastAsia="en-IE"/>
        </w:rPr>
        <w:t xml:space="preserve">and </w:t>
      </w:r>
      <w:r w:rsidRPr="00283F2A">
        <w:rPr>
          <w:rFonts w:ascii="Times New Roman" w:eastAsia="Times New Roman" w:hAnsi="Times New Roman" w:cs="Times New Roman"/>
          <w:bCs/>
          <w:i/>
          <w:color w:val="000000"/>
          <w:sz w:val="20"/>
          <w:szCs w:val="20"/>
          <w:lang w:eastAsia="en-IE"/>
        </w:rPr>
        <w:t>P</w:t>
      </w:r>
      <w:r w:rsidRPr="00283F2A">
        <w:rPr>
          <w:rFonts w:ascii="Times New Roman" w:eastAsia="Times New Roman" w:hAnsi="Times New Roman" w:cs="Times New Roman"/>
          <w:bCs/>
          <w:color w:val="000000"/>
          <w:sz w:val="20"/>
          <w:szCs w:val="20"/>
          <w:lang w:eastAsia="en-IE"/>
        </w:rPr>
        <w:t>-values</w:t>
      </w:r>
      <w:r w:rsidRPr="00283F2A">
        <w:rPr>
          <w:rFonts w:ascii="Times New Roman" w:eastAsia="Times New Roman" w:hAnsi="Times New Roman" w:cs="Times New Roman"/>
          <w:bCs/>
          <w:color w:val="000000"/>
          <w:sz w:val="20"/>
          <w:szCs w:val="20"/>
          <w:vertAlign w:val="superscript"/>
          <w:lang w:eastAsia="en-IE"/>
        </w:rPr>
        <w:t>1</w:t>
      </w:r>
      <w:r w:rsidRPr="00283F2A">
        <w:rPr>
          <w:rFonts w:ascii="Times New Roman" w:eastAsia="Times New Roman" w:hAnsi="Times New Roman" w:cs="Times New Roman"/>
          <w:bCs/>
          <w:color w:val="000000"/>
          <w:sz w:val="20"/>
          <w:szCs w:val="20"/>
          <w:lang w:eastAsia="en-IE"/>
        </w:rPr>
        <w:t xml:space="preserve">, in key performance traits within selected risk factors </w:t>
      </w:r>
    </w:p>
    <w:p w14:paraId="041F45F9" w14:textId="77777777" w:rsidR="00283F2A" w:rsidRPr="00283F2A" w:rsidRDefault="00283F2A" w:rsidP="00283F2A">
      <w:pPr>
        <w:spacing w:after="200" w:line="276" w:lineRule="auto"/>
        <w:rPr>
          <w:rFonts w:ascii="Calibri" w:eastAsia="Calibri" w:hAnsi="Calibri" w:cs="Arial"/>
          <w:lang w:val="en-IE"/>
        </w:rPr>
      </w:pPr>
    </w:p>
    <w:tbl>
      <w:tblPr>
        <w:tblW w:w="0" w:type="auto"/>
        <w:tblLayout w:type="fixed"/>
        <w:tblLook w:val="04A0" w:firstRow="1" w:lastRow="0" w:firstColumn="1" w:lastColumn="0" w:noHBand="0" w:noVBand="1"/>
      </w:tblPr>
      <w:tblGrid>
        <w:gridCol w:w="1471"/>
        <w:gridCol w:w="1047"/>
        <w:gridCol w:w="851"/>
        <w:gridCol w:w="1842"/>
        <w:gridCol w:w="2468"/>
        <w:gridCol w:w="1811"/>
        <w:gridCol w:w="2000"/>
        <w:gridCol w:w="2225"/>
      </w:tblGrid>
      <w:tr w:rsidR="00283F2A" w:rsidRPr="00283F2A" w14:paraId="02CD4423" w14:textId="77777777" w:rsidTr="00CE7BE1">
        <w:trPr>
          <w:trHeight w:val="304"/>
        </w:trPr>
        <w:tc>
          <w:tcPr>
            <w:tcW w:w="1471" w:type="dxa"/>
            <w:tcBorders>
              <w:top w:val="single" w:sz="4" w:space="0" w:color="auto"/>
              <w:left w:val="nil"/>
              <w:bottom w:val="single" w:sz="4" w:space="0" w:color="auto"/>
              <w:right w:val="single" w:sz="4" w:space="0" w:color="auto"/>
            </w:tcBorders>
            <w:shd w:val="clear" w:color="auto" w:fill="auto"/>
            <w:noWrap/>
            <w:vAlign w:val="center"/>
            <w:hideMark/>
          </w:tcPr>
          <w:p w14:paraId="3ECC0366" w14:textId="77777777" w:rsidR="00283F2A" w:rsidRPr="00283F2A" w:rsidRDefault="00283F2A" w:rsidP="00283F2A">
            <w:pPr>
              <w:spacing w:after="0" w:line="240" w:lineRule="auto"/>
              <w:rPr>
                <w:rFonts w:ascii="Times New Roman" w:eastAsia="Times New Roman" w:hAnsi="Times New Roman" w:cs="Times New Roman"/>
                <w:b/>
                <w:bCs/>
                <w:color w:val="000000"/>
                <w:sz w:val="20"/>
                <w:szCs w:val="20"/>
                <w:lang w:val="en-IE" w:eastAsia="en-IE"/>
              </w:rPr>
            </w:pPr>
            <w:r w:rsidRPr="00283F2A">
              <w:rPr>
                <w:rFonts w:ascii="Times New Roman" w:eastAsia="Times New Roman" w:hAnsi="Times New Roman" w:cs="Times New Roman"/>
                <w:b/>
                <w:bCs/>
                <w:color w:val="000000"/>
                <w:sz w:val="20"/>
                <w:szCs w:val="20"/>
                <w:lang w:eastAsia="en-IE"/>
              </w:rPr>
              <w:t>Risk Factor</w:t>
            </w: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B44C2" w14:textId="77777777" w:rsidR="00283F2A" w:rsidRPr="00283F2A" w:rsidRDefault="00283F2A" w:rsidP="00283F2A">
            <w:pPr>
              <w:spacing w:after="0" w:line="240" w:lineRule="auto"/>
              <w:rPr>
                <w:rFonts w:ascii="Times New Roman" w:eastAsia="Times New Roman" w:hAnsi="Times New Roman" w:cs="Times New Roman"/>
                <w:b/>
                <w:bCs/>
                <w:color w:val="000000"/>
                <w:sz w:val="20"/>
                <w:szCs w:val="20"/>
                <w:lang w:val="en-IE" w:eastAsia="en-IE"/>
              </w:rPr>
            </w:pPr>
            <w:r w:rsidRPr="00283F2A">
              <w:rPr>
                <w:rFonts w:ascii="Times New Roman" w:eastAsia="Times New Roman" w:hAnsi="Times New Roman" w:cs="Times New Roman"/>
                <w:b/>
                <w:bCs/>
                <w:color w:val="000000"/>
                <w:sz w:val="20"/>
                <w:szCs w:val="20"/>
                <w:lang w:eastAsia="en-IE"/>
              </w:rPr>
              <w:t>Scenario</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9A51C" w14:textId="77777777" w:rsidR="00283F2A" w:rsidRPr="00283F2A" w:rsidRDefault="00283F2A" w:rsidP="00283F2A">
            <w:pPr>
              <w:spacing w:after="0" w:line="240" w:lineRule="auto"/>
              <w:jc w:val="center"/>
              <w:rPr>
                <w:rFonts w:ascii="Times New Roman" w:eastAsia="Times New Roman" w:hAnsi="Times New Roman" w:cs="Times New Roman"/>
                <w:b/>
                <w:bCs/>
                <w:color w:val="000000"/>
                <w:sz w:val="20"/>
                <w:szCs w:val="20"/>
                <w:lang w:val="en-IE" w:eastAsia="en-IE"/>
              </w:rPr>
            </w:pPr>
            <w:proofErr w:type="spellStart"/>
            <w:r w:rsidRPr="00283F2A">
              <w:rPr>
                <w:rFonts w:ascii="Times New Roman" w:eastAsia="Times New Roman" w:hAnsi="Times New Roman" w:cs="Times New Roman"/>
                <w:b/>
                <w:bCs/>
                <w:color w:val="000000"/>
                <w:sz w:val="20"/>
                <w:szCs w:val="20"/>
                <w:lang w:eastAsia="en-IE"/>
              </w:rPr>
              <w:t>Sero</w:t>
            </w:r>
            <w:proofErr w:type="spellEnd"/>
            <w:r w:rsidRPr="00283F2A">
              <w:rPr>
                <w:rFonts w:ascii="Times New Roman" w:eastAsia="Times New Roman" w:hAnsi="Times New Roman" w:cs="Times New Roman"/>
                <w:b/>
                <w:bCs/>
                <w:color w:val="000000"/>
                <w:sz w:val="20"/>
                <w:szCs w:val="20"/>
                <w:lang w:eastAsia="en-IE"/>
              </w:rPr>
              <w:t xml:space="preserve"> status</w:t>
            </w:r>
            <w:r w:rsidRPr="00283F2A">
              <w:rPr>
                <w:rFonts w:ascii="Times New Roman" w:eastAsia="Times New Roman" w:hAnsi="Times New Roman" w:cs="Times New Roman"/>
                <w:bCs/>
                <w:color w:val="000000"/>
                <w:sz w:val="20"/>
                <w:szCs w:val="20"/>
                <w:vertAlign w:val="superscript"/>
                <w:lang w:eastAsia="en-IE"/>
              </w:rPr>
              <w:t>5</w:t>
            </w:r>
          </w:p>
        </w:tc>
        <w:tc>
          <w:tcPr>
            <w:tcW w:w="18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C00CD1" w14:textId="77777777" w:rsidR="00283F2A" w:rsidRPr="00283F2A" w:rsidRDefault="00283F2A" w:rsidP="00283F2A">
            <w:pPr>
              <w:spacing w:after="0" w:line="240" w:lineRule="auto"/>
              <w:jc w:val="center"/>
              <w:rPr>
                <w:rFonts w:ascii="Times New Roman" w:eastAsia="Times New Roman" w:hAnsi="Times New Roman" w:cs="Times New Roman"/>
                <w:i/>
                <w:iCs/>
                <w:color w:val="000000"/>
                <w:sz w:val="20"/>
                <w:szCs w:val="20"/>
                <w:lang w:val="en-IE" w:eastAsia="en-IE"/>
              </w:rPr>
            </w:pPr>
            <w:r w:rsidRPr="00283F2A">
              <w:rPr>
                <w:rFonts w:ascii="Times New Roman" w:eastAsia="Times New Roman" w:hAnsi="Times New Roman" w:cs="Times New Roman"/>
                <w:i/>
                <w:iCs/>
                <w:color w:val="000000"/>
                <w:sz w:val="20"/>
                <w:szCs w:val="20"/>
                <w:lang w:eastAsia="en-IE"/>
              </w:rPr>
              <w:t>Calving Interval (days)</w:t>
            </w:r>
          </w:p>
        </w:tc>
        <w:tc>
          <w:tcPr>
            <w:tcW w:w="24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B8B279" w14:textId="77777777" w:rsidR="00283F2A" w:rsidRPr="00283F2A" w:rsidRDefault="00283F2A" w:rsidP="00283F2A">
            <w:pPr>
              <w:spacing w:after="0" w:line="240" w:lineRule="auto"/>
              <w:jc w:val="center"/>
              <w:rPr>
                <w:rFonts w:ascii="Times New Roman" w:eastAsia="Times New Roman" w:hAnsi="Times New Roman" w:cs="Times New Roman"/>
                <w:i/>
                <w:iCs/>
                <w:color w:val="000000"/>
                <w:sz w:val="20"/>
                <w:szCs w:val="20"/>
                <w:lang w:val="en-IE" w:eastAsia="en-IE"/>
              </w:rPr>
            </w:pPr>
            <w:r w:rsidRPr="00283F2A">
              <w:rPr>
                <w:rFonts w:ascii="Times New Roman" w:eastAsia="Times New Roman" w:hAnsi="Times New Roman" w:cs="Times New Roman"/>
                <w:i/>
                <w:iCs/>
                <w:color w:val="000000"/>
                <w:sz w:val="20"/>
                <w:szCs w:val="20"/>
                <w:lang w:eastAsia="en-IE"/>
              </w:rPr>
              <w:t>Live weight gain 0-225 days (g/d)</w:t>
            </w:r>
          </w:p>
        </w:tc>
        <w:tc>
          <w:tcPr>
            <w:tcW w:w="18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A3B23D" w14:textId="77777777" w:rsidR="00283F2A" w:rsidRPr="00283F2A" w:rsidRDefault="00283F2A" w:rsidP="00283F2A">
            <w:pPr>
              <w:spacing w:after="0" w:line="240" w:lineRule="auto"/>
              <w:jc w:val="center"/>
              <w:rPr>
                <w:rFonts w:ascii="Times New Roman" w:eastAsia="Times New Roman" w:hAnsi="Times New Roman" w:cs="Times New Roman"/>
                <w:i/>
                <w:iCs/>
                <w:color w:val="000000"/>
                <w:sz w:val="20"/>
                <w:szCs w:val="20"/>
                <w:lang w:val="en-IE" w:eastAsia="en-IE"/>
              </w:rPr>
            </w:pPr>
            <w:r w:rsidRPr="00283F2A">
              <w:rPr>
                <w:rFonts w:ascii="Times New Roman" w:eastAsia="Times New Roman" w:hAnsi="Times New Roman" w:cs="Times New Roman"/>
                <w:i/>
                <w:iCs/>
                <w:color w:val="000000"/>
                <w:sz w:val="20"/>
                <w:szCs w:val="20"/>
                <w:lang w:eastAsia="en-IE"/>
              </w:rPr>
              <w:t>Reappearance rate (%)</w:t>
            </w:r>
          </w:p>
        </w:tc>
        <w:tc>
          <w:tcPr>
            <w:tcW w:w="20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97F63" w14:textId="77777777" w:rsidR="00283F2A" w:rsidRPr="00283F2A" w:rsidRDefault="00283F2A" w:rsidP="00283F2A">
            <w:pPr>
              <w:spacing w:after="0" w:line="240" w:lineRule="auto"/>
              <w:jc w:val="center"/>
              <w:rPr>
                <w:rFonts w:ascii="Times New Roman" w:eastAsia="Times New Roman" w:hAnsi="Times New Roman" w:cs="Times New Roman"/>
                <w:i/>
                <w:iCs/>
                <w:color w:val="000000"/>
                <w:sz w:val="20"/>
                <w:szCs w:val="20"/>
                <w:lang w:val="en-IE" w:eastAsia="en-IE"/>
              </w:rPr>
            </w:pPr>
            <w:r w:rsidRPr="00283F2A">
              <w:rPr>
                <w:rFonts w:ascii="Times New Roman" w:eastAsia="Times New Roman" w:hAnsi="Times New Roman" w:cs="Times New Roman"/>
                <w:i/>
                <w:iCs/>
                <w:color w:val="000000"/>
                <w:sz w:val="20"/>
                <w:szCs w:val="20"/>
                <w:lang w:eastAsia="en-IE"/>
              </w:rPr>
              <w:t>Calf mortality &lt;28days (%)</w:t>
            </w:r>
          </w:p>
        </w:tc>
        <w:tc>
          <w:tcPr>
            <w:tcW w:w="2225" w:type="dxa"/>
            <w:tcBorders>
              <w:top w:val="single" w:sz="4" w:space="0" w:color="auto"/>
              <w:left w:val="single" w:sz="4" w:space="0" w:color="auto"/>
              <w:bottom w:val="single" w:sz="4" w:space="0" w:color="auto"/>
            </w:tcBorders>
            <w:shd w:val="clear" w:color="auto" w:fill="auto"/>
            <w:noWrap/>
            <w:vAlign w:val="center"/>
            <w:hideMark/>
          </w:tcPr>
          <w:p w14:paraId="0B98DFC5" w14:textId="77777777" w:rsidR="00283F2A" w:rsidRPr="00283F2A" w:rsidRDefault="00283F2A" w:rsidP="00283F2A">
            <w:pPr>
              <w:spacing w:after="0" w:line="240" w:lineRule="auto"/>
              <w:jc w:val="center"/>
              <w:rPr>
                <w:rFonts w:ascii="Times New Roman" w:eastAsia="Times New Roman" w:hAnsi="Times New Roman" w:cs="Times New Roman"/>
                <w:i/>
                <w:iCs/>
                <w:color w:val="000000"/>
                <w:sz w:val="20"/>
                <w:szCs w:val="20"/>
                <w:lang w:val="en-IE" w:eastAsia="en-IE"/>
              </w:rPr>
            </w:pPr>
            <w:r w:rsidRPr="00283F2A">
              <w:rPr>
                <w:rFonts w:ascii="Times New Roman" w:eastAsia="Times New Roman" w:hAnsi="Times New Roman" w:cs="Times New Roman"/>
                <w:i/>
                <w:iCs/>
                <w:color w:val="000000"/>
                <w:sz w:val="20"/>
                <w:szCs w:val="20"/>
                <w:lang w:eastAsia="en-IE"/>
              </w:rPr>
              <w:t>Calf mortality 28-225 days (%)</w:t>
            </w:r>
          </w:p>
        </w:tc>
      </w:tr>
      <w:tr w:rsidR="00283F2A" w:rsidRPr="00283F2A" w14:paraId="3250E0D0" w14:textId="77777777" w:rsidTr="00CE7BE1">
        <w:trPr>
          <w:trHeight w:val="478"/>
        </w:trPr>
        <w:tc>
          <w:tcPr>
            <w:tcW w:w="1471" w:type="dxa"/>
            <w:vMerge w:val="restart"/>
            <w:tcBorders>
              <w:top w:val="single" w:sz="4" w:space="0" w:color="auto"/>
              <w:left w:val="nil"/>
              <w:bottom w:val="nil"/>
              <w:right w:val="single" w:sz="4" w:space="0" w:color="auto"/>
            </w:tcBorders>
            <w:shd w:val="clear" w:color="auto" w:fill="auto"/>
            <w:noWrap/>
            <w:vAlign w:val="center"/>
            <w:hideMark/>
          </w:tcPr>
          <w:p w14:paraId="17BBB5B4"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Herd Size</w:t>
            </w:r>
            <w:r w:rsidRPr="00283F2A">
              <w:rPr>
                <w:rFonts w:ascii="Times New Roman" w:eastAsia="Times New Roman" w:hAnsi="Times New Roman" w:cs="Times New Roman"/>
                <w:color w:val="000000"/>
                <w:sz w:val="20"/>
                <w:szCs w:val="20"/>
                <w:vertAlign w:val="superscript"/>
                <w:lang w:eastAsia="en-IE"/>
              </w:rPr>
              <w:t>2</w:t>
            </w:r>
            <w:r w:rsidRPr="00283F2A">
              <w:rPr>
                <w:rFonts w:ascii="Times New Roman" w:eastAsia="Times New Roman" w:hAnsi="Times New Roman" w:cs="Times New Roman"/>
                <w:color w:val="000000"/>
                <w:sz w:val="20"/>
                <w:szCs w:val="20"/>
                <w:lang w:eastAsia="en-IE"/>
              </w:rPr>
              <w:t xml:space="preserve"> </w:t>
            </w:r>
          </w:p>
        </w:tc>
        <w:tc>
          <w:tcPr>
            <w:tcW w:w="1047" w:type="dxa"/>
            <w:tcBorders>
              <w:top w:val="single" w:sz="4" w:space="0" w:color="auto"/>
              <w:left w:val="single" w:sz="4" w:space="0" w:color="auto"/>
              <w:bottom w:val="nil"/>
              <w:right w:val="single" w:sz="4" w:space="0" w:color="auto"/>
            </w:tcBorders>
            <w:shd w:val="clear" w:color="auto" w:fill="auto"/>
            <w:noWrap/>
            <w:vAlign w:val="center"/>
            <w:hideMark/>
          </w:tcPr>
          <w:p w14:paraId="17367CB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Large</w:t>
            </w:r>
          </w:p>
        </w:tc>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205AECB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single" w:sz="4" w:space="0" w:color="auto"/>
              <w:left w:val="single" w:sz="4" w:space="0" w:color="auto"/>
              <w:bottom w:val="nil"/>
              <w:right w:val="single" w:sz="4" w:space="0" w:color="auto"/>
            </w:tcBorders>
            <w:shd w:val="clear" w:color="auto" w:fill="auto"/>
            <w:noWrap/>
            <w:vAlign w:val="center"/>
            <w:hideMark/>
          </w:tcPr>
          <w:p w14:paraId="5B3814D3"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367 ± 1.8 </w:t>
            </w:r>
            <w:r w:rsidRPr="00283F2A">
              <w:rPr>
                <w:rFonts w:ascii="Times New Roman" w:eastAsia="Times New Roman" w:hAnsi="Times New Roman" w:cs="Times New Roman"/>
                <w:i/>
                <w:iCs/>
                <w:color w:val="000000"/>
                <w:sz w:val="20"/>
                <w:szCs w:val="20"/>
                <w:lang w:eastAsia="en-IE"/>
              </w:rPr>
              <w:t>(0.350)</w:t>
            </w:r>
            <w:r w:rsidRPr="00283F2A">
              <w:rPr>
                <w:rFonts w:ascii="Times New Roman" w:eastAsia="Times New Roman" w:hAnsi="Times New Roman" w:cs="Times New Roman"/>
                <w:i/>
                <w:iCs/>
                <w:color w:val="000000"/>
                <w:sz w:val="20"/>
                <w:szCs w:val="20"/>
                <w:vertAlign w:val="superscript"/>
                <w:lang w:eastAsia="en-IE"/>
              </w:rPr>
              <w:t>1</w:t>
            </w:r>
          </w:p>
        </w:tc>
        <w:tc>
          <w:tcPr>
            <w:tcW w:w="2468" w:type="dxa"/>
            <w:tcBorders>
              <w:top w:val="single" w:sz="4" w:space="0" w:color="auto"/>
              <w:left w:val="single" w:sz="4" w:space="0" w:color="auto"/>
              <w:bottom w:val="nil"/>
              <w:right w:val="single" w:sz="4" w:space="0" w:color="auto"/>
            </w:tcBorders>
            <w:shd w:val="clear" w:color="auto" w:fill="auto"/>
            <w:noWrap/>
            <w:vAlign w:val="center"/>
            <w:hideMark/>
          </w:tcPr>
          <w:p w14:paraId="1183D58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1096 ± 18 </w:t>
            </w:r>
            <w:r w:rsidRPr="00283F2A">
              <w:rPr>
                <w:rFonts w:ascii="Times New Roman" w:eastAsia="Times New Roman" w:hAnsi="Times New Roman" w:cs="Times New Roman"/>
                <w:i/>
                <w:iCs/>
                <w:color w:val="000000"/>
                <w:sz w:val="20"/>
                <w:szCs w:val="20"/>
                <w:lang w:eastAsia="en-IE"/>
              </w:rPr>
              <w:t>(0.771)</w:t>
            </w:r>
          </w:p>
        </w:tc>
        <w:tc>
          <w:tcPr>
            <w:tcW w:w="1811" w:type="dxa"/>
            <w:tcBorders>
              <w:top w:val="single" w:sz="4" w:space="0" w:color="auto"/>
              <w:left w:val="single" w:sz="4" w:space="0" w:color="auto"/>
              <w:bottom w:val="nil"/>
              <w:right w:val="single" w:sz="4" w:space="0" w:color="auto"/>
            </w:tcBorders>
            <w:shd w:val="clear" w:color="auto" w:fill="auto"/>
            <w:noWrap/>
            <w:vAlign w:val="center"/>
            <w:hideMark/>
          </w:tcPr>
          <w:p w14:paraId="09A3144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91 ± 1.1 </w:t>
            </w:r>
            <w:r w:rsidRPr="00283F2A">
              <w:rPr>
                <w:rFonts w:ascii="Times New Roman" w:eastAsia="Times New Roman" w:hAnsi="Times New Roman" w:cs="Times New Roman"/>
                <w:i/>
                <w:iCs/>
                <w:color w:val="000000"/>
                <w:sz w:val="20"/>
                <w:szCs w:val="20"/>
                <w:lang w:eastAsia="en-IE"/>
              </w:rPr>
              <w:t>(0.040)</w:t>
            </w:r>
          </w:p>
        </w:tc>
        <w:tc>
          <w:tcPr>
            <w:tcW w:w="2000" w:type="dxa"/>
            <w:tcBorders>
              <w:top w:val="single" w:sz="4" w:space="0" w:color="auto"/>
              <w:left w:val="single" w:sz="4" w:space="0" w:color="auto"/>
              <w:bottom w:val="nil"/>
              <w:right w:val="single" w:sz="4" w:space="0" w:color="auto"/>
            </w:tcBorders>
            <w:shd w:val="clear" w:color="auto" w:fill="auto"/>
            <w:noWrap/>
            <w:vAlign w:val="center"/>
            <w:hideMark/>
          </w:tcPr>
          <w:p w14:paraId="504CB949"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3.5 ± 0.57 </w:t>
            </w:r>
            <w:r w:rsidRPr="00283F2A">
              <w:rPr>
                <w:rFonts w:ascii="Times New Roman" w:eastAsia="Times New Roman" w:hAnsi="Times New Roman" w:cs="Times New Roman"/>
                <w:i/>
                <w:iCs/>
                <w:color w:val="000000"/>
                <w:sz w:val="20"/>
                <w:szCs w:val="20"/>
                <w:lang w:eastAsia="en-IE"/>
              </w:rPr>
              <w:t>(0.693)</w:t>
            </w:r>
          </w:p>
        </w:tc>
        <w:tc>
          <w:tcPr>
            <w:tcW w:w="2225" w:type="dxa"/>
            <w:tcBorders>
              <w:top w:val="single" w:sz="4" w:space="0" w:color="auto"/>
              <w:left w:val="single" w:sz="4" w:space="0" w:color="auto"/>
              <w:bottom w:val="nil"/>
            </w:tcBorders>
            <w:shd w:val="clear" w:color="auto" w:fill="auto"/>
            <w:noWrap/>
            <w:vAlign w:val="center"/>
            <w:hideMark/>
          </w:tcPr>
          <w:p w14:paraId="2A6CFDC9"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1.7 ± 0.38 </w:t>
            </w:r>
            <w:r w:rsidRPr="00283F2A">
              <w:rPr>
                <w:rFonts w:ascii="Times New Roman" w:eastAsia="Times New Roman" w:hAnsi="Times New Roman" w:cs="Times New Roman"/>
                <w:i/>
                <w:iCs/>
                <w:color w:val="000000"/>
                <w:sz w:val="20"/>
                <w:szCs w:val="20"/>
                <w:lang w:eastAsia="en-IE"/>
              </w:rPr>
              <w:t>(0.460)</w:t>
            </w:r>
          </w:p>
        </w:tc>
      </w:tr>
      <w:tr w:rsidR="00283F2A" w:rsidRPr="00283F2A" w14:paraId="65260E84" w14:textId="77777777" w:rsidTr="00CE7BE1">
        <w:trPr>
          <w:trHeight w:val="463"/>
        </w:trPr>
        <w:tc>
          <w:tcPr>
            <w:tcW w:w="1471" w:type="dxa"/>
            <w:vMerge/>
            <w:tcBorders>
              <w:top w:val="nil"/>
              <w:left w:val="nil"/>
              <w:bottom w:val="nil"/>
              <w:right w:val="single" w:sz="4" w:space="0" w:color="auto"/>
            </w:tcBorders>
            <w:vAlign w:val="center"/>
            <w:hideMark/>
          </w:tcPr>
          <w:p w14:paraId="63CD4867"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555F8423"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Large</w:t>
            </w:r>
          </w:p>
        </w:tc>
        <w:tc>
          <w:tcPr>
            <w:tcW w:w="851" w:type="dxa"/>
            <w:tcBorders>
              <w:top w:val="nil"/>
              <w:left w:val="single" w:sz="4" w:space="0" w:color="auto"/>
              <w:bottom w:val="nil"/>
              <w:right w:val="single" w:sz="4" w:space="0" w:color="auto"/>
            </w:tcBorders>
            <w:shd w:val="clear" w:color="auto" w:fill="auto"/>
            <w:noWrap/>
            <w:vAlign w:val="center"/>
            <w:hideMark/>
          </w:tcPr>
          <w:p w14:paraId="4C5D220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2BF0702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370 ± 1.8 </w:t>
            </w:r>
            <w:r w:rsidRPr="00283F2A">
              <w:rPr>
                <w:rFonts w:ascii="Times New Roman" w:eastAsia="Times New Roman" w:hAnsi="Times New Roman" w:cs="Times New Roman"/>
                <w:i/>
                <w:iCs/>
                <w:color w:val="000000"/>
                <w:sz w:val="20"/>
                <w:szCs w:val="20"/>
                <w:lang w:eastAsia="en-IE"/>
              </w:rPr>
              <w:t>(0.350)</w:t>
            </w:r>
          </w:p>
        </w:tc>
        <w:tc>
          <w:tcPr>
            <w:tcW w:w="2468" w:type="dxa"/>
            <w:tcBorders>
              <w:top w:val="nil"/>
              <w:left w:val="single" w:sz="4" w:space="0" w:color="auto"/>
              <w:bottom w:val="nil"/>
              <w:right w:val="single" w:sz="4" w:space="0" w:color="auto"/>
            </w:tcBorders>
            <w:shd w:val="clear" w:color="auto" w:fill="auto"/>
            <w:noWrap/>
            <w:vAlign w:val="center"/>
            <w:hideMark/>
          </w:tcPr>
          <w:p w14:paraId="420AF4FD"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1090 ± 19 </w:t>
            </w:r>
            <w:r w:rsidRPr="00283F2A">
              <w:rPr>
                <w:rFonts w:ascii="Times New Roman" w:eastAsia="Times New Roman" w:hAnsi="Times New Roman" w:cs="Times New Roman"/>
                <w:i/>
                <w:iCs/>
                <w:color w:val="000000"/>
                <w:sz w:val="20"/>
                <w:szCs w:val="20"/>
                <w:lang w:eastAsia="en-IE"/>
              </w:rPr>
              <w:t>(0.771)</w:t>
            </w:r>
          </w:p>
        </w:tc>
        <w:tc>
          <w:tcPr>
            <w:tcW w:w="1811" w:type="dxa"/>
            <w:tcBorders>
              <w:top w:val="nil"/>
              <w:left w:val="single" w:sz="4" w:space="0" w:color="auto"/>
              <w:bottom w:val="nil"/>
              <w:right w:val="single" w:sz="4" w:space="0" w:color="auto"/>
            </w:tcBorders>
            <w:shd w:val="clear" w:color="auto" w:fill="auto"/>
            <w:noWrap/>
            <w:vAlign w:val="center"/>
            <w:hideMark/>
          </w:tcPr>
          <w:p w14:paraId="3965549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87 ± 1.2 (0.040)</w:t>
            </w:r>
          </w:p>
        </w:tc>
        <w:tc>
          <w:tcPr>
            <w:tcW w:w="2000" w:type="dxa"/>
            <w:tcBorders>
              <w:top w:val="nil"/>
              <w:left w:val="single" w:sz="4" w:space="0" w:color="auto"/>
              <w:bottom w:val="nil"/>
              <w:right w:val="single" w:sz="4" w:space="0" w:color="auto"/>
            </w:tcBorders>
            <w:shd w:val="clear" w:color="auto" w:fill="auto"/>
            <w:noWrap/>
            <w:vAlign w:val="center"/>
            <w:hideMark/>
          </w:tcPr>
          <w:p w14:paraId="7F6A2387"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3.2 ± 0.64 (0.693)</w:t>
            </w:r>
          </w:p>
        </w:tc>
        <w:tc>
          <w:tcPr>
            <w:tcW w:w="2225" w:type="dxa"/>
            <w:tcBorders>
              <w:top w:val="nil"/>
              <w:left w:val="single" w:sz="4" w:space="0" w:color="auto"/>
            </w:tcBorders>
            <w:shd w:val="clear" w:color="auto" w:fill="auto"/>
            <w:noWrap/>
            <w:vAlign w:val="center"/>
            <w:hideMark/>
          </w:tcPr>
          <w:p w14:paraId="25E1DE9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2.0 ± 0.43 (0.460)</w:t>
            </w:r>
          </w:p>
        </w:tc>
      </w:tr>
      <w:tr w:rsidR="00283F2A" w:rsidRPr="00283F2A" w14:paraId="34E7E086" w14:textId="77777777" w:rsidTr="00CE7BE1">
        <w:trPr>
          <w:trHeight w:val="387"/>
        </w:trPr>
        <w:tc>
          <w:tcPr>
            <w:tcW w:w="1471" w:type="dxa"/>
            <w:vMerge/>
            <w:tcBorders>
              <w:top w:val="nil"/>
              <w:left w:val="nil"/>
              <w:bottom w:val="nil"/>
              <w:right w:val="single" w:sz="4" w:space="0" w:color="auto"/>
            </w:tcBorders>
            <w:vAlign w:val="center"/>
            <w:hideMark/>
          </w:tcPr>
          <w:p w14:paraId="0007C3DC"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44F18399"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Small</w:t>
            </w:r>
          </w:p>
        </w:tc>
        <w:tc>
          <w:tcPr>
            <w:tcW w:w="851" w:type="dxa"/>
            <w:tcBorders>
              <w:top w:val="nil"/>
              <w:left w:val="single" w:sz="4" w:space="0" w:color="auto"/>
              <w:bottom w:val="nil"/>
              <w:right w:val="single" w:sz="4" w:space="0" w:color="auto"/>
            </w:tcBorders>
            <w:shd w:val="clear" w:color="auto" w:fill="auto"/>
            <w:noWrap/>
            <w:vAlign w:val="center"/>
            <w:hideMark/>
          </w:tcPr>
          <w:p w14:paraId="005252A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7139E8D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379 ± 2.3 (0.727)</w:t>
            </w:r>
          </w:p>
        </w:tc>
        <w:tc>
          <w:tcPr>
            <w:tcW w:w="2468" w:type="dxa"/>
            <w:tcBorders>
              <w:top w:val="nil"/>
              <w:left w:val="single" w:sz="4" w:space="0" w:color="auto"/>
              <w:bottom w:val="nil"/>
              <w:right w:val="single" w:sz="4" w:space="0" w:color="auto"/>
            </w:tcBorders>
            <w:shd w:val="clear" w:color="auto" w:fill="auto"/>
            <w:noWrap/>
            <w:vAlign w:val="center"/>
            <w:hideMark/>
          </w:tcPr>
          <w:p w14:paraId="55A6A34D"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1241 ± 23 (0.366)</w:t>
            </w:r>
          </w:p>
        </w:tc>
        <w:tc>
          <w:tcPr>
            <w:tcW w:w="1811" w:type="dxa"/>
            <w:tcBorders>
              <w:top w:val="nil"/>
              <w:left w:val="single" w:sz="4" w:space="0" w:color="auto"/>
              <w:bottom w:val="nil"/>
              <w:right w:val="single" w:sz="4" w:space="0" w:color="auto"/>
            </w:tcBorders>
            <w:shd w:val="clear" w:color="auto" w:fill="auto"/>
            <w:noWrap/>
            <w:vAlign w:val="center"/>
            <w:hideMark/>
          </w:tcPr>
          <w:p w14:paraId="74D39A5C"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79 ± 1.5 (0.153)</w:t>
            </w:r>
          </w:p>
        </w:tc>
        <w:tc>
          <w:tcPr>
            <w:tcW w:w="2000" w:type="dxa"/>
            <w:tcBorders>
              <w:top w:val="nil"/>
              <w:left w:val="single" w:sz="4" w:space="0" w:color="auto"/>
              <w:bottom w:val="nil"/>
              <w:right w:val="single" w:sz="4" w:space="0" w:color="auto"/>
            </w:tcBorders>
            <w:shd w:val="clear" w:color="auto" w:fill="auto"/>
            <w:noWrap/>
            <w:vAlign w:val="center"/>
            <w:hideMark/>
          </w:tcPr>
          <w:p w14:paraId="74D5B002"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2.5 ± 0.79 (0.697)</w:t>
            </w:r>
          </w:p>
        </w:tc>
        <w:tc>
          <w:tcPr>
            <w:tcW w:w="2225" w:type="dxa"/>
            <w:tcBorders>
              <w:top w:val="nil"/>
              <w:left w:val="single" w:sz="4" w:space="0" w:color="auto"/>
              <w:bottom w:val="nil"/>
            </w:tcBorders>
            <w:shd w:val="clear" w:color="auto" w:fill="auto"/>
            <w:noWrap/>
            <w:vAlign w:val="center"/>
            <w:hideMark/>
          </w:tcPr>
          <w:p w14:paraId="44CE2ED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1.7 ± 0.56 (0.254)</w:t>
            </w:r>
          </w:p>
        </w:tc>
      </w:tr>
      <w:tr w:rsidR="00283F2A" w:rsidRPr="00283F2A" w14:paraId="0286A1C7" w14:textId="77777777" w:rsidTr="00CE7BE1">
        <w:trPr>
          <w:trHeight w:val="436"/>
        </w:trPr>
        <w:tc>
          <w:tcPr>
            <w:tcW w:w="1471" w:type="dxa"/>
            <w:vMerge/>
            <w:tcBorders>
              <w:top w:val="nil"/>
              <w:left w:val="nil"/>
              <w:bottom w:val="nil"/>
              <w:right w:val="single" w:sz="4" w:space="0" w:color="auto"/>
            </w:tcBorders>
            <w:vAlign w:val="center"/>
            <w:hideMark/>
          </w:tcPr>
          <w:p w14:paraId="3E9D362B"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3033E00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Small</w:t>
            </w:r>
          </w:p>
        </w:tc>
        <w:tc>
          <w:tcPr>
            <w:tcW w:w="851" w:type="dxa"/>
            <w:tcBorders>
              <w:top w:val="nil"/>
              <w:left w:val="single" w:sz="4" w:space="0" w:color="auto"/>
              <w:bottom w:val="nil"/>
              <w:right w:val="single" w:sz="4" w:space="0" w:color="auto"/>
            </w:tcBorders>
            <w:shd w:val="clear" w:color="auto" w:fill="auto"/>
            <w:noWrap/>
            <w:vAlign w:val="center"/>
            <w:hideMark/>
          </w:tcPr>
          <w:p w14:paraId="5125F5D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3854DA4D"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377 ± 3.6 (0.727)</w:t>
            </w:r>
          </w:p>
        </w:tc>
        <w:tc>
          <w:tcPr>
            <w:tcW w:w="2468" w:type="dxa"/>
            <w:tcBorders>
              <w:top w:val="nil"/>
              <w:left w:val="single" w:sz="4" w:space="0" w:color="auto"/>
              <w:bottom w:val="nil"/>
              <w:right w:val="single" w:sz="4" w:space="0" w:color="auto"/>
            </w:tcBorders>
            <w:shd w:val="clear" w:color="auto" w:fill="auto"/>
            <w:noWrap/>
            <w:vAlign w:val="center"/>
            <w:hideMark/>
          </w:tcPr>
          <w:p w14:paraId="2A47815C"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1210 ± 30 (0.366)</w:t>
            </w:r>
          </w:p>
        </w:tc>
        <w:tc>
          <w:tcPr>
            <w:tcW w:w="1811" w:type="dxa"/>
            <w:tcBorders>
              <w:top w:val="nil"/>
              <w:left w:val="single" w:sz="4" w:space="0" w:color="auto"/>
              <w:bottom w:val="nil"/>
              <w:right w:val="single" w:sz="4" w:space="0" w:color="auto"/>
            </w:tcBorders>
            <w:shd w:val="clear" w:color="auto" w:fill="auto"/>
            <w:noWrap/>
            <w:vAlign w:val="center"/>
            <w:hideMark/>
          </w:tcPr>
          <w:p w14:paraId="143A618B"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82 ± 2.1 (0.153)</w:t>
            </w:r>
          </w:p>
        </w:tc>
        <w:tc>
          <w:tcPr>
            <w:tcW w:w="2000" w:type="dxa"/>
            <w:tcBorders>
              <w:top w:val="nil"/>
              <w:left w:val="single" w:sz="4" w:space="0" w:color="auto"/>
              <w:bottom w:val="nil"/>
              <w:right w:val="single" w:sz="4" w:space="0" w:color="auto"/>
            </w:tcBorders>
            <w:shd w:val="clear" w:color="auto" w:fill="auto"/>
            <w:noWrap/>
            <w:vAlign w:val="center"/>
            <w:hideMark/>
          </w:tcPr>
          <w:p w14:paraId="1EBCD10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3.0 ± 1.24 (0.697)</w:t>
            </w:r>
          </w:p>
        </w:tc>
        <w:tc>
          <w:tcPr>
            <w:tcW w:w="2225" w:type="dxa"/>
            <w:tcBorders>
              <w:top w:val="nil"/>
              <w:left w:val="single" w:sz="4" w:space="0" w:color="auto"/>
              <w:bottom w:val="nil"/>
            </w:tcBorders>
            <w:shd w:val="clear" w:color="auto" w:fill="auto"/>
            <w:noWrap/>
            <w:vAlign w:val="center"/>
            <w:hideMark/>
          </w:tcPr>
          <w:p w14:paraId="4CAC214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0.7 ± 0.82 (0.254)</w:t>
            </w:r>
          </w:p>
        </w:tc>
      </w:tr>
      <w:tr w:rsidR="00283F2A" w:rsidRPr="00283F2A" w14:paraId="2E2A915C" w14:textId="77777777" w:rsidTr="00CE7BE1">
        <w:trPr>
          <w:trHeight w:val="304"/>
        </w:trPr>
        <w:tc>
          <w:tcPr>
            <w:tcW w:w="1471" w:type="dxa"/>
            <w:vMerge w:val="restart"/>
            <w:tcBorders>
              <w:top w:val="nil"/>
              <w:left w:val="nil"/>
              <w:bottom w:val="nil"/>
              <w:right w:val="single" w:sz="4" w:space="0" w:color="auto"/>
            </w:tcBorders>
            <w:shd w:val="clear" w:color="auto" w:fill="auto"/>
            <w:noWrap/>
            <w:vAlign w:val="center"/>
            <w:hideMark/>
          </w:tcPr>
          <w:p w14:paraId="01F90D1D"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Movement Status</w:t>
            </w:r>
            <w:r w:rsidRPr="00283F2A">
              <w:rPr>
                <w:rFonts w:ascii="Times New Roman" w:eastAsia="Times New Roman" w:hAnsi="Times New Roman" w:cs="Times New Roman"/>
                <w:color w:val="000000"/>
                <w:sz w:val="20"/>
                <w:szCs w:val="20"/>
                <w:vertAlign w:val="superscript"/>
                <w:lang w:eastAsia="en-IE"/>
              </w:rPr>
              <w:t>3</w:t>
            </w:r>
          </w:p>
        </w:tc>
        <w:tc>
          <w:tcPr>
            <w:tcW w:w="1047" w:type="dxa"/>
            <w:tcBorders>
              <w:top w:val="nil"/>
              <w:left w:val="single" w:sz="4" w:space="0" w:color="auto"/>
              <w:bottom w:val="nil"/>
              <w:right w:val="single" w:sz="4" w:space="0" w:color="auto"/>
            </w:tcBorders>
            <w:shd w:val="clear" w:color="auto" w:fill="auto"/>
            <w:noWrap/>
            <w:vAlign w:val="center"/>
            <w:hideMark/>
          </w:tcPr>
          <w:p w14:paraId="4A78BF6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High Move</w:t>
            </w:r>
          </w:p>
        </w:tc>
        <w:tc>
          <w:tcPr>
            <w:tcW w:w="851" w:type="dxa"/>
            <w:tcBorders>
              <w:top w:val="nil"/>
              <w:left w:val="single" w:sz="4" w:space="0" w:color="auto"/>
              <w:bottom w:val="nil"/>
              <w:right w:val="single" w:sz="4" w:space="0" w:color="auto"/>
            </w:tcBorders>
            <w:shd w:val="clear" w:color="auto" w:fill="auto"/>
            <w:noWrap/>
            <w:vAlign w:val="center"/>
            <w:hideMark/>
          </w:tcPr>
          <w:p w14:paraId="1553567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3928B7B9"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372 ± 1.7 (0.461)</w:t>
            </w:r>
          </w:p>
        </w:tc>
        <w:tc>
          <w:tcPr>
            <w:tcW w:w="2468" w:type="dxa"/>
            <w:tcBorders>
              <w:top w:val="nil"/>
              <w:left w:val="single" w:sz="4" w:space="0" w:color="auto"/>
              <w:bottom w:val="nil"/>
              <w:right w:val="single" w:sz="4" w:space="0" w:color="auto"/>
            </w:tcBorders>
            <w:shd w:val="clear" w:color="auto" w:fill="auto"/>
            <w:noWrap/>
            <w:vAlign w:val="center"/>
            <w:hideMark/>
          </w:tcPr>
          <w:p w14:paraId="6A1CF94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1175 ± 17 (0.757)</w:t>
            </w:r>
          </w:p>
        </w:tc>
        <w:tc>
          <w:tcPr>
            <w:tcW w:w="1811" w:type="dxa"/>
            <w:tcBorders>
              <w:top w:val="nil"/>
              <w:left w:val="single" w:sz="4" w:space="0" w:color="auto"/>
              <w:bottom w:val="nil"/>
              <w:right w:val="single" w:sz="4" w:space="0" w:color="auto"/>
            </w:tcBorders>
            <w:shd w:val="clear" w:color="auto" w:fill="auto"/>
            <w:noWrap/>
            <w:vAlign w:val="center"/>
            <w:hideMark/>
          </w:tcPr>
          <w:p w14:paraId="749477D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89 ± 1.5 (0.089)</w:t>
            </w:r>
          </w:p>
        </w:tc>
        <w:tc>
          <w:tcPr>
            <w:tcW w:w="2000" w:type="dxa"/>
            <w:tcBorders>
              <w:top w:val="nil"/>
              <w:left w:val="single" w:sz="4" w:space="0" w:color="auto"/>
              <w:bottom w:val="nil"/>
              <w:right w:val="single" w:sz="4" w:space="0" w:color="auto"/>
            </w:tcBorders>
            <w:shd w:val="clear" w:color="auto" w:fill="auto"/>
            <w:noWrap/>
            <w:vAlign w:val="center"/>
            <w:hideMark/>
          </w:tcPr>
          <w:p w14:paraId="7EC6DC94"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3.6 ± 0.84 (0.391)</w:t>
            </w:r>
          </w:p>
        </w:tc>
        <w:tc>
          <w:tcPr>
            <w:tcW w:w="2225" w:type="dxa"/>
            <w:tcBorders>
              <w:top w:val="nil"/>
              <w:left w:val="single" w:sz="4" w:space="0" w:color="auto"/>
              <w:bottom w:val="nil"/>
            </w:tcBorders>
            <w:shd w:val="clear" w:color="auto" w:fill="auto"/>
            <w:noWrap/>
            <w:vAlign w:val="center"/>
            <w:hideMark/>
          </w:tcPr>
          <w:p w14:paraId="2E0919AB"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2.2 ± 0.44 (0.368)</w:t>
            </w:r>
          </w:p>
        </w:tc>
      </w:tr>
      <w:tr w:rsidR="00283F2A" w:rsidRPr="00283F2A" w14:paraId="1C53C202" w14:textId="77777777" w:rsidTr="00CE7BE1">
        <w:trPr>
          <w:trHeight w:val="304"/>
        </w:trPr>
        <w:tc>
          <w:tcPr>
            <w:tcW w:w="1471" w:type="dxa"/>
            <w:vMerge/>
            <w:tcBorders>
              <w:top w:val="nil"/>
              <w:left w:val="nil"/>
              <w:bottom w:val="nil"/>
              <w:right w:val="single" w:sz="4" w:space="0" w:color="auto"/>
            </w:tcBorders>
            <w:vAlign w:val="center"/>
            <w:hideMark/>
          </w:tcPr>
          <w:p w14:paraId="321740E7"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4121A68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High Move</w:t>
            </w:r>
          </w:p>
        </w:tc>
        <w:tc>
          <w:tcPr>
            <w:tcW w:w="851" w:type="dxa"/>
            <w:tcBorders>
              <w:top w:val="nil"/>
              <w:left w:val="single" w:sz="4" w:space="0" w:color="auto"/>
              <w:bottom w:val="nil"/>
              <w:right w:val="single" w:sz="4" w:space="0" w:color="auto"/>
            </w:tcBorders>
            <w:shd w:val="clear" w:color="auto" w:fill="auto"/>
            <w:noWrap/>
            <w:vAlign w:val="center"/>
            <w:hideMark/>
          </w:tcPr>
          <w:p w14:paraId="42FE3CE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2E72EB5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374 ± 2.0 (0.461)</w:t>
            </w:r>
          </w:p>
        </w:tc>
        <w:tc>
          <w:tcPr>
            <w:tcW w:w="2468" w:type="dxa"/>
            <w:tcBorders>
              <w:top w:val="nil"/>
              <w:left w:val="single" w:sz="4" w:space="0" w:color="auto"/>
              <w:bottom w:val="nil"/>
              <w:right w:val="single" w:sz="4" w:space="0" w:color="auto"/>
            </w:tcBorders>
            <w:shd w:val="clear" w:color="auto" w:fill="auto"/>
            <w:noWrap/>
            <w:vAlign w:val="center"/>
            <w:hideMark/>
          </w:tcPr>
          <w:p w14:paraId="09BB53C2"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1168 ± 21 (0.757)</w:t>
            </w:r>
          </w:p>
        </w:tc>
        <w:tc>
          <w:tcPr>
            <w:tcW w:w="1811" w:type="dxa"/>
            <w:tcBorders>
              <w:top w:val="nil"/>
              <w:left w:val="single" w:sz="4" w:space="0" w:color="auto"/>
              <w:bottom w:val="nil"/>
              <w:right w:val="single" w:sz="4" w:space="0" w:color="auto"/>
            </w:tcBorders>
            <w:shd w:val="clear" w:color="auto" w:fill="auto"/>
            <w:noWrap/>
            <w:vAlign w:val="center"/>
            <w:hideMark/>
          </w:tcPr>
          <w:p w14:paraId="7288E33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85 ± 1.7 (0.089)</w:t>
            </w:r>
          </w:p>
        </w:tc>
        <w:tc>
          <w:tcPr>
            <w:tcW w:w="2000" w:type="dxa"/>
            <w:tcBorders>
              <w:top w:val="nil"/>
              <w:left w:val="single" w:sz="4" w:space="0" w:color="auto"/>
              <w:bottom w:val="nil"/>
              <w:right w:val="single" w:sz="4" w:space="0" w:color="auto"/>
            </w:tcBorders>
            <w:shd w:val="clear" w:color="auto" w:fill="auto"/>
            <w:noWrap/>
            <w:vAlign w:val="center"/>
            <w:hideMark/>
          </w:tcPr>
          <w:p w14:paraId="08816F2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2.6 ± 0.97 (0.391)</w:t>
            </w:r>
          </w:p>
        </w:tc>
        <w:tc>
          <w:tcPr>
            <w:tcW w:w="2225" w:type="dxa"/>
            <w:tcBorders>
              <w:top w:val="nil"/>
              <w:left w:val="single" w:sz="4" w:space="0" w:color="auto"/>
              <w:bottom w:val="nil"/>
            </w:tcBorders>
            <w:shd w:val="clear" w:color="auto" w:fill="auto"/>
            <w:noWrap/>
            <w:vAlign w:val="center"/>
            <w:hideMark/>
          </w:tcPr>
          <w:p w14:paraId="6890F6A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1.6 ± 0.58 (0.368)</w:t>
            </w:r>
          </w:p>
        </w:tc>
      </w:tr>
      <w:tr w:rsidR="00283F2A" w:rsidRPr="00283F2A" w14:paraId="4A1620B3" w14:textId="77777777" w:rsidTr="00CE7BE1">
        <w:trPr>
          <w:trHeight w:val="483"/>
        </w:trPr>
        <w:tc>
          <w:tcPr>
            <w:tcW w:w="1471" w:type="dxa"/>
            <w:vMerge/>
            <w:tcBorders>
              <w:top w:val="nil"/>
              <w:left w:val="nil"/>
              <w:bottom w:val="nil"/>
              <w:right w:val="single" w:sz="4" w:space="0" w:color="auto"/>
            </w:tcBorders>
            <w:vAlign w:val="center"/>
            <w:hideMark/>
          </w:tcPr>
          <w:p w14:paraId="54468FEE"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320C890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Low Move</w:t>
            </w:r>
          </w:p>
        </w:tc>
        <w:tc>
          <w:tcPr>
            <w:tcW w:w="851" w:type="dxa"/>
            <w:tcBorders>
              <w:top w:val="nil"/>
              <w:left w:val="single" w:sz="4" w:space="0" w:color="auto"/>
              <w:bottom w:val="nil"/>
              <w:right w:val="single" w:sz="4" w:space="0" w:color="auto"/>
            </w:tcBorders>
            <w:shd w:val="clear" w:color="auto" w:fill="auto"/>
            <w:noWrap/>
            <w:vAlign w:val="center"/>
            <w:hideMark/>
          </w:tcPr>
          <w:p w14:paraId="25F2D7F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7055196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373 ± 2.4 (0.133)</w:t>
            </w:r>
          </w:p>
        </w:tc>
        <w:tc>
          <w:tcPr>
            <w:tcW w:w="2468" w:type="dxa"/>
            <w:tcBorders>
              <w:top w:val="nil"/>
              <w:left w:val="single" w:sz="4" w:space="0" w:color="auto"/>
              <w:bottom w:val="nil"/>
              <w:right w:val="single" w:sz="4" w:space="0" w:color="auto"/>
            </w:tcBorders>
            <w:shd w:val="clear" w:color="auto" w:fill="auto"/>
            <w:noWrap/>
            <w:vAlign w:val="center"/>
            <w:hideMark/>
          </w:tcPr>
          <w:p w14:paraId="0BBCF82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1210 ± 20 (0.286)</w:t>
            </w:r>
          </w:p>
        </w:tc>
        <w:tc>
          <w:tcPr>
            <w:tcW w:w="1811" w:type="dxa"/>
            <w:tcBorders>
              <w:top w:val="nil"/>
              <w:left w:val="single" w:sz="4" w:space="0" w:color="auto"/>
              <w:bottom w:val="nil"/>
              <w:right w:val="single" w:sz="4" w:space="0" w:color="auto"/>
            </w:tcBorders>
            <w:shd w:val="clear" w:color="auto" w:fill="auto"/>
            <w:noWrap/>
            <w:vAlign w:val="center"/>
            <w:hideMark/>
          </w:tcPr>
          <w:p w14:paraId="6B89121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86 ± 1.6 (0.751)</w:t>
            </w:r>
          </w:p>
        </w:tc>
        <w:tc>
          <w:tcPr>
            <w:tcW w:w="2000" w:type="dxa"/>
            <w:tcBorders>
              <w:top w:val="nil"/>
              <w:left w:val="single" w:sz="4" w:space="0" w:color="auto"/>
              <w:bottom w:val="nil"/>
              <w:right w:val="single" w:sz="4" w:space="0" w:color="auto"/>
            </w:tcBorders>
            <w:shd w:val="clear" w:color="auto" w:fill="auto"/>
            <w:noWrap/>
            <w:vAlign w:val="center"/>
            <w:hideMark/>
          </w:tcPr>
          <w:p w14:paraId="0487C3F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2.0 ± 0.79 (0.460)</w:t>
            </w:r>
          </w:p>
        </w:tc>
        <w:tc>
          <w:tcPr>
            <w:tcW w:w="2225" w:type="dxa"/>
            <w:tcBorders>
              <w:top w:val="nil"/>
              <w:left w:val="single" w:sz="4" w:space="0" w:color="auto"/>
            </w:tcBorders>
            <w:shd w:val="clear" w:color="auto" w:fill="auto"/>
            <w:noWrap/>
            <w:vAlign w:val="center"/>
            <w:hideMark/>
          </w:tcPr>
          <w:p w14:paraId="67768D43"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2.0 ± 0.61</w:t>
            </w:r>
            <w:r w:rsidRPr="00283F2A">
              <w:rPr>
                <w:rFonts w:ascii="Times New Roman" w:eastAsia="Times New Roman" w:hAnsi="Times New Roman" w:cs="Times New Roman"/>
                <w:color w:val="000000"/>
                <w:sz w:val="20"/>
                <w:szCs w:val="20"/>
                <w:lang w:val="en-IE" w:eastAsia="en-IE"/>
              </w:rPr>
              <w:t xml:space="preserve"> </w:t>
            </w:r>
            <w:r w:rsidRPr="00283F2A">
              <w:rPr>
                <w:rFonts w:ascii="Times New Roman" w:eastAsia="Times New Roman" w:hAnsi="Times New Roman" w:cs="Times New Roman"/>
                <w:color w:val="000000"/>
                <w:sz w:val="20"/>
                <w:szCs w:val="20"/>
                <w:lang w:eastAsia="en-IE"/>
              </w:rPr>
              <w:t>(0.513)</w:t>
            </w:r>
          </w:p>
        </w:tc>
      </w:tr>
      <w:tr w:rsidR="00283F2A" w:rsidRPr="00283F2A" w14:paraId="73126EA1" w14:textId="77777777" w:rsidTr="00CE7BE1">
        <w:trPr>
          <w:trHeight w:val="304"/>
        </w:trPr>
        <w:tc>
          <w:tcPr>
            <w:tcW w:w="1471" w:type="dxa"/>
            <w:vMerge/>
            <w:tcBorders>
              <w:top w:val="nil"/>
              <w:left w:val="nil"/>
              <w:right w:val="single" w:sz="4" w:space="0" w:color="auto"/>
            </w:tcBorders>
            <w:vAlign w:val="center"/>
            <w:hideMark/>
          </w:tcPr>
          <w:p w14:paraId="4DF1594E"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right w:val="single" w:sz="4" w:space="0" w:color="auto"/>
            </w:tcBorders>
            <w:shd w:val="clear" w:color="auto" w:fill="auto"/>
            <w:noWrap/>
            <w:vAlign w:val="center"/>
            <w:hideMark/>
          </w:tcPr>
          <w:p w14:paraId="3EFBDCD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Low Move</w:t>
            </w:r>
          </w:p>
        </w:tc>
        <w:tc>
          <w:tcPr>
            <w:tcW w:w="851" w:type="dxa"/>
            <w:tcBorders>
              <w:top w:val="nil"/>
              <w:left w:val="single" w:sz="4" w:space="0" w:color="auto"/>
              <w:right w:val="single" w:sz="4" w:space="0" w:color="auto"/>
            </w:tcBorders>
            <w:shd w:val="clear" w:color="auto" w:fill="auto"/>
            <w:noWrap/>
            <w:vAlign w:val="center"/>
            <w:hideMark/>
          </w:tcPr>
          <w:p w14:paraId="5F547707"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right w:val="single" w:sz="4" w:space="0" w:color="auto"/>
            </w:tcBorders>
            <w:shd w:val="clear" w:color="auto" w:fill="auto"/>
            <w:noWrap/>
            <w:vAlign w:val="center"/>
            <w:hideMark/>
          </w:tcPr>
          <w:p w14:paraId="46672D9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368 ± 3.2 (0.133)</w:t>
            </w:r>
          </w:p>
        </w:tc>
        <w:tc>
          <w:tcPr>
            <w:tcW w:w="2468" w:type="dxa"/>
            <w:tcBorders>
              <w:top w:val="nil"/>
              <w:left w:val="single" w:sz="4" w:space="0" w:color="auto"/>
              <w:right w:val="single" w:sz="4" w:space="0" w:color="auto"/>
            </w:tcBorders>
            <w:shd w:val="clear" w:color="auto" w:fill="auto"/>
            <w:noWrap/>
            <w:vAlign w:val="center"/>
            <w:hideMark/>
          </w:tcPr>
          <w:p w14:paraId="7F4D093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1166 ± 30 (0.286)</w:t>
            </w:r>
          </w:p>
        </w:tc>
        <w:tc>
          <w:tcPr>
            <w:tcW w:w="1811" w:type="dxa"/>
            <w:tcBorders>
              <w:top w:val="nil"/>
              <w:left w:val="single" w:sz="4" w:space="0" w:color="auto"/>
              <w:right w:val="single" w:sz="4" w:space="0" w:color="auto"/>
            </w:tcBorders>
            <w:shd w:val="clear" w:color="auto" w:fill="auto"/>
            <w:noWrap/>
            <w:vAlign w:val="center"/>
            <w:hideMark/>
          </w:tcPr>
          <w:p w14:paraId="496688F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87 ± 2.2 (0.751)</w:t>
            </w:r>
          </w:p>
        </w:tc>
        <w:tc>
          <w:tcPr>
            <w:tcW w:w="2000" w:type="dxa"/>
            <w:tcBorders>
              <w:top w:val="nil"/>
              <w:left w:val="single" w:sz="4" w:space="0" w:color="auto"/>
              <w:right w:val="single" w:sz="4" w:space="0" w:color="auto"/>
            </w:tcBorders>
            <w:shd w:val="clear" w:color="auto" w:fill="auto"/>
            <w:noWrap/>
            <w:vAlign w:val="center"/>
            <w:hideMark/>
          </w:tcPr>
          <w:p w14:paraId="7DA28390"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2.9 ± 1.00 (0.460)</w:t>
            </w:r>
          </w:p>
        </w:tc>
        <w:tc>
          <w:tcPr>
            <w:tcW w:w="2225" w:type="dxa"/>
            <w:tcBorders>
              <w:top w:val="nil"/>
              <w:left w:val="single" w:sz="4" w:space="0" w:color="auto"/>
            </w:tcBorders>
            <w:shd w:val="clear" w:color="auto" w:fill="auto"/>
            <w:noWrap/>
            <w:vAlign w:val="center"/>
            <w:hideMark/>
          </w:tcPr>
          <w:p w14:paraId="5E9E1ED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2.7 ± 0.78 (0.513)</w:t>
            </w:r>
          </w:p>
        </w:tc>
      </w:tr>
      <w:tr w:rsidR="00283F2A" w:rsidRPr="00283F2A" w14:paraId="0EEF268D" w14:textId="77777777" w:rsidTr="00CE7BE1">
        <w:trPr>
          <w:trHeight w:val="397"/>
        </w:trPr>
        <w:tc>
          <w:tcPr>
            <w:tcW w:w="1471" w:type="dxa"/>
            <w:vMerge w:val="restart"/>
            <w:tcBorders>
              <w:top w:val="nil"/>
              <w:left w:val="nil"/>
              <w:bottom w:val="nil"/>
              <w:right w:val="single" w:sz="4" w:space="0" w:color="auto"/>
            </w:tcBorders>
            <w:shd w:val="clear" w:color="auto" w:fill="auto"/>
            <w:noWrap/>
            <w:vAlign w:val="center"/>
            <w:hideMark/>
          </w:tcPr>
          <w:p w14:paraId="252B03BC"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Vaccination Status</w:t>
            </w:r>
            <w:r w:rsidRPr="00283F2A">
              <w:rPr>
                <w:rFonts w:ascii="Times New Roman" w:eastAsia="Times New Roman" w:hAnsi="Times New Roman" w:cs="Times New Roman"/>
                <w:color w:val="000000"/>
                <w:sz w:val="20"/>
                <w:szCs w:val="20"/>
                <w:vertAlign w:val="superscript"/>
                <w:lang w:eastAsia="en-IE"/>
              </w:rPr>
              <w:t>4</w:t>
            </w:r>
          </w:p>
        </w:tc>
        <w:tc>
          <w:tcPr>
            <w:tcW w:w="1047" w:type="dxa"/>
            <w:tcBorders>
              <w:top w:val="nil"/>
              <w:left w:val="single" w:sz="4" w:space="0" w:color="auto"/>
              <w:bottom w:val="nil"/>
              <w:right w:val="single" w:sz="4" w:space="0" w:color="auto"/>
            </w:tcBorders>
            <w:shd w:val="clear" w:color="auto" w:fill="auto"/>
            <w:noWrap/>
            <w:vAlign w:val="center"/>
            <w:hideMark/>
          </w:tcPr>
          <w:p w14:paraId="7E3B16D7"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proofErr w:type="spellStart"/>
            <w:r w:rsidRPr="00283F2A">
              <w:rPr>
                <w:rFonts w:ascii="Times New Roman" w:eastAsia="Times New Roman" w:hAnsi="Times New Roman" w:cs="Times New Roman"/>
                <w:color w:val="000000"/>
                <w:sz w:val="20"/>
                <w:szCs w:val="20"/>
                <w:lang w:eastAsia="en-IE"/>
              </w:rPr>
              <w:t>Vacc</w:t>
            </w:r>
            <w:proofErr w:type="spellEnd"/>
          </w:p>
        </w:tc>
        <w:tc>
          <w:tcPr>
            <w:tcW w:w="851" w:type="dxa"/>
            <w:tcBorders>
              <w:top w:val="nil"/>
              <w:left w:val="single" w:sz="4" w:space="0" w:color="auto"/>
              <w:bottom w:val="nil"/>
              <w:right w:val="single" w:sz="4" w:space="0" w:color="auto"/>
            </w:tcBorders>
            <w:shd w:val="clear" w:color="auto" w:fill="auto"/>
            <w:noWrap/>
            <w:vAlign w:val="center"/>
            <w:hideMark/>
          </w:tcPr>
          <w:p w14:paraId="3BE82440"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53C385B0"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372 ± 2.6 (0.420)</w:t>
            </w:r>
          </w:p>
        </w:tc>
        <w:tc>
          <w:tcPr>
            <w:tcW w:w="2468" w:type="dxa"/>
            <w:tcBorders>
              <w:top w:val="nil"/>
              <w:left w:val="single" w:sz="4" w:space="0" w:color="auto"/>
              <w:bottom w:val="nil"/>
              <w:right w:val="single" w:sz="4" w:space="0" w:color="auto"/>
            </w:tcBorders>
            <w:shd w:val="clear" w:color="auto" w:fill="auto"/>
            <w:noWrap/>
            <w:vAlign w:val="center"/>
            <w:hideMark/>
          </w:tcPr>
          <w:p w14:paraId="0EEC93F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1170 ± 30 (0.608)</w:t>
            </w:r>
          </w:p>
        </w:tc>
        <w:tc>
          <w:tcPr>
            <w:tcW w:w="1811" w:type="dxa"/>
            <w:tcBorders>
              <w:top w:val="nil"/>
              <w:left w:val="single" w:sz="4" w:space="0" w:color="auto"/>
              <w:bottom w:val="nil"/>
              <w:right w:val="single" w:sz="4" w:space="0" w:color="auto"/>
            </w:tcBorders>
            <w:shd w:val="clear" w:color="auto" w:fill="auto"/>
            <w:noWrap/>
            <w:vAlign w:val="center"/>
            <w:hideMark/>
          </w:tcPr>
          <w:p w14:paraId="24F6560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91 ± 1.6 (0.756)</w:t>
            </w:r>
          </w:p>
        </w:tc>
        <w:tc>
          <w:tcPr>
            <w:tcW w:w="2000" w:type="dxa"/>
            <w:tcBorders>
              <w:top w:val="nil"/>
              <w:left w:val="single" w:sz="4" w:space="0" w:color="auto"/>
              <w:bottom w:val="nil"/>
              <w:right w:val="single" w:sz="4" w:space="0" w:color="auto"/>
            </w:tcBorders>
            <w:shd w:val="clear" w:color="auto" w:fill="auto"/>
            <w:noWrap/>
            <w:vAlign w:val="center"/>
            <w:hideMark/>
          </w:tcPr>
          <w:p w14:paraId="19504EAD"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5.7 ± 1.00 (0.278)</w:t>
            </w:r>
          </w:p>
        </w:tc>
        <w:tc>
          <w:tcPr>
            <w:tcW w:w="2225" w:type="dxa"/>
            <w:tcBorders>
              <w:top w:val="nil"/>
              <w:left w:val="single" w:sz="4" w:space="0" w:color="auto"/>
            </w:tcBorders>
            <w:shd w:val="clear" w:color="auto" w:fill="auto"/>
            <w:noWrap/>
            <w:vAlign w:val="center"/>
            <w:hideMark/>
          </w:tcPr>
          <w:p w14:paraId="38E6F26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1.9 ± 0.50</w:t>
            </w:r>
            <w:r w:rsidRPr="00283F2A">
              <w:rPr>
                <w:rFonts w:ascii="Times New Roman" w:eastAsia="Times New Roman" w:hAnsi="Times New Roman" w:cs="Times New Roman"/>
                <w:color w:val="000000"/>
                <w:sz w:val="20"/>
                <w:szCs w:val="20"/>
                <w:lang w:val="en-IE" w:eastAsia="en-IE"/>
              </w:rPr>
              <w:t xml:space="preserve"> </w:t>
            </w:r>
            <w:r w:rsidRPr="00283F2A">
              <w:rPr>
                <w:rFonts w:ascii="Times New Roman" w:eastAsia="Times New Roman" w:hAnsi="Times New Roman" w:cs="Times New Roman"/>
                <w:color w:val="000000"/>
                <w:sz w:val="20"/>
                <w:szCs w:val="20"/>
                <w:lang w:eastAsia="en-IE"/>
              </w:rPr>
              <w:t>(0.600)</w:t>
            </w:r>
          </w:p>
        </w:tc>
      </w:tr>
      <w:tr w:rsidR="00283F2A" w:rsidRPr="00283F2A" w14:paraId="009BD00B" w14:textId="77777777" w:rsidTr="00CE7BE1">
        <w:trPr>
          <w:trHeight w:val="417"/>
        </w:trPr>
        <w:tc>
          <w:tcPr>
            <w:tcW w:w="1471" w:type="dxa"/>
            <w:vMerge/>
            <w:tcBorders>
              <w:top w:val="nil"/>
              <w:left w:val="nil"/>
              <w:bottom w:val="nil"/>
              <w:right w:val="single" w:sz="4" w:space="0" w:color="auto"/>
            </w:tcBorders>
            <w:vAlign w:val="center"/>
            <w:hideMark/>
          </w:tcPr>
          <w:p w14:paraId="07A6B8BB"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220998A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proofErr w:type="spellStart"/>
            <w:r w:rsidRPr="00283F2A">
              <w:rPr>
                <w:rFonts w:ascii="Times New Roman" w:eastAsia="Times New Roman" w:hAnsi="Times New Roman" w:cs="Times New Roman"/>
                <w:color w:val="000000"/>
                <w:sz w:val="20"/>
                <w:szCs w:val="20"/>
                <w:lang w:eastAsia="en-IE"/>
              </w:rPr>
              <w:t>Vacc</w:t>
            </w:r>
            <w:proofErr w:type="spellEnd"/>
          </w:p>
        </w:tc>
        <w:tc>
          <w:tcPr>
            <w:tcW w:w="851" w:type="dxa"/>
            <w:tcBorders>
              <w:top w:val="nil"/>
              <w:left w:val="single" w:sz="4" w:space="0" w:color="auto"/>
              <w:bottom w:val="nil"/>
              <w:right w:val="single" w:sz="4" w:space="0" w:color="auto"/>
            </w:tcBorders>
            <w:shd w:val="clear" w:color="auto" w:fill="auto"/>
            <w:noWrap/>
            <w:vAlign w:val="center"/>
            <w:hideMark/>
          </w:tcPr>
          <w:p w14:paraId="65330E4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72B75CB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375 ± 3.7 (0.420)</w:t>
            </w:r>
          </w:p>
        </w:tc>
        <w:tc>
          <w:tcPr>
            <w:tcW w:w="2468" w:type="dxa"/>
            <w:tcBorders>
              <w:top w:val="nil"/>
              <w:left w:val="single" w:sz="4" w:space="0" w:color="auto"/>
              <w:bottom w:val="nil"/>
              <w:right w:val="single" w:sz="4" w:space="0" w:color="auto"/>
            </w:tcBorders>
            <w:shd w:val="clear" w:color="auto" w:fill="auto"/>
            <w:noWrap/>
            <w:vAlign w:val="center"/>
            <w:hideMark/>
          </w:tcPr>
          <w:p w14:paraId="7F6C7E5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1188 ± 38 (0.608)</w:t>
            </w:r>
          </w:p>
        </w:tc>
        <w:tc>
          <w:tcPr>
            <w:tcW w:w="1811" w:type="dxa"/>
            <w:tcBorders>
              <w:top w:val="nil"/>
              <w:left w:val="single" w:sz="4" w:space="0" w:color="auto"/>
              <w:bottom w:val="nil"/>
              <w:right w:val="single" w:sz="4" w:space="0" w:color="auto"/>
            </w:tcBorders>
            <w:shd w:val="clear" w:color="auto" w:fill="auto"/>
            <w:noWrap/>
            <w:vAlign w:val="center"/>
            <w:hideMark/>
          </w:tcPr>
          <w:p w14:paraId="0036DF4B"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91 ± 2.3 (0.756)</w:t>
            </w:r>
          </w:p>
        </w:tc>
        <w:tc>
          <w:tcPr>
            <w:tcW w:w="2000" w:type="dxa"/>
            <w:tcBorders>
              <w:top w:val="nil"/>
              <w:left w:val="single" w:sz="4" w:space="0" w:color="auto"/>
              <w:bottom w:val="nil"/>
              <w:right w:val="single" w:sz="4" w:space="0" w:color="auto"/>
            </w:tcBorders>
            <w:shd w:val="clear" w:color="auto" w:fill="auto"/>
            <w:noWrap/>
            <w:vAlign w:val="center"/>
            <w:hideMark/>
          </w:tcPr>
          <w:p w14:paraId="5420E91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4.0 ± 1.50 (0.278)</w:t>
            </w:r>
          </w:p>
        </w:tc>
        <w:tc>
          <w:tcPr>
            <w:tcW w:w="2225" w:type="dxa"/>
            <w:tcBorders>
              <w:top w:val="nil"/>
              <w:left w:val="single" w:sz="4" w:space="0" w:color="auto"/>
            </w:tcBorders>
            <w:shd w:val="clear" w:color="auto" w:fill="auto"/>
            <w:noWrap/>
            <w:vAlign w:val="center"/>
            <w:hideMark/>
          </w:tcPr>
          <w:p w14:paraId="0D9AA43F"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2.6 ± 1.00 (0.600)</w:t>
            </w:r>
          </w:p>
        </w:tc>
      </w:tr>
      <w:tr w:rsidR="00283F2A" w:rsidRPr="00283F2A" w14:paraId="1F3E5042" w14:textId="77777777" w:rsidTr="00CE7BE1">
        <w:trPr>
          <w:trHeight w:val="423"/>
        </w:trPr>
        <w:tc>
          <w:tcPr>
            <w:tcW w:w="1471" w:type="dxa"/>
            <w:vMerge/>
            <w:tcBorders>
              <w:top w:val="nil"/>
              <w:left w:val="nil"/>
              <w:bottom w:val="nil"/>
              <w:right w:val="single" w:sz="4" w:space="0" w:color="auto"/>
            </w:tcBorders>
            <w:vAlign w:val="center"/>
            <w:hideMark/>
          </w:tcPr>
          <w:p w14:paraId="7488F096"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nil"/>
              <w:right w:val="single" w:sz="4" w:space="0" w:color="auto"/>
            </w:tcBorders>
            <w:shd w:val="clear" w:color="auto" w:fill="auto"/>
            <w:noWrap/>
            <w:vAlign w:val="center"/>
            <w:hideMark/>
          </w:tcPr>
          <w:p w14:paraId="4482AC58"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Non </w:t>
            </w:r>
            <w:proofErr w:type="spellStart"/>
            <w:r w:rsidRPr="00283F2A">
              <w:rPr>
                <w:rFonts w:ascii="Times New Roman" w:eastAsia="Times New Roman" w:hAnsi="Times New Roman" w:cs="Times New Roman"/>
                <w:color w:val="000000"/>
                <w:sz w:val="20"/>
                <w:szCs w:val="20"/>
                <w:lang w:eastAsia="en-IE"/>
              </w:rPr>
              <w:t>Vacc</w:t>
            </w:r>
            <w:proofErr w:type="spellEnd"/>
          </w:p>
        </w:tc>
        <w:tc>
          <w:tcPr>
            <w:tcW w:w="851" w:type="dxa"/>
            <w:tcBorders>
              <w:top w:val="nil"/>
              <w:left w:val="single" w:sz="4" w:space="0" w:color="auto"/>
              <w:bottom w:val="nil"/>
              <w:right w:val="single" w:sz="4" w:space="0" w:color="auto"/>
            </w:tcBorders>
            <w:shd w:val="clear" w:color="auto" w:fill="auto"/>
            <w:noWrap/>
            <w:vAlign w:val="center"/>
            <w:hideMark/>
          </w:tcPr>
          <w:p w14:paraId="641A891A"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nil"/>
              <w:right w:val="single" w:sz="4" w:space="0" w:color="auto"/>
            </w:tcBorders>
            <w:shd w:val="clear" w:color="auto" w:fill="auto"/>
            <w:noWrap/>
            <w:vAlign w:val="center"/>
            <w:hideMark/>
          </w:tcPr>
          <w:p w14:paraId="690AA22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373 ± 1.3 (0.398)</w:t>
            </w:r>
          </w:p>
        </w:tc>
        <w:tc>
          <w:tcPr>
            <w:tcW w:w="2468" w:type="dxa"/>
            <w:tcBorders>
              <w:top w:val="nil"/>
              <w:left w:val="single" w:sz="4" w:space="0" w:color="auto"/>
              <w:bottom w:val="nil"/>
              <w:right w:val="single" w:sz="4" w:space="0" w:color="auto"/>
            </w:tcBorders>
            <w:shd w:val="clear" w:color="auto" w:fill="auto"/>
            <w:noWrap/>
            <w:vAlign w:val="center"/>
            <w:hideMark/>
          </w:tcPr>
          <w:p w14:paraId="57FCA297"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1177 ± 13 (0.381)</w:t>
            </w:r>
          </w:p>
        </w:tc>
        <w:tc>
          <w:tcPr>
            <w:tcW w:w="1811" w:type="dxa"/>
            <w:tcBorders>
              <w:top w:val="nil"/>
              <w:left w:val="single" w:sz="4" w:space="0" w:color="auto"/>
              <w:bottom w:val="nil"/>
              <w:right w:val="single" w:sz="4" w:space="0" w:color="auto"/>
            </w:tcBorders>
            <w:shd w:val="clear" w:color="auto" w:fill="auto"/>
            <w:noWrap/>
            <w:vAlign w:val="center"/>
            <w:hideMark/>
          </w:tcPr>
          <w:p w14:paraId="11F65991"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90 ± 1.0 (0.090)</w:t>
            </w:r>
          </w:p>
        </w:tc>
        <w:tc>
          <w:tcPr>
            <w:tcW w:w="2000" w:type="dxa"/>
            <w:tcBorders>
              <w:top w:val="nil"/>
              <w:left w:val="single" w:sz="4" w:space="0" w:color="auto"/>
              <w:bottom w:val="nil"/>
              <w:right w:val="single" w:sz="4" w:space="0" w:color="auto"/>
            </w:tcBorders>
            <w:shd w:val="clear" w:color="auto" w:fill="auto"/>
            <w:noWrap/>
            <w:vAlign w:val="center"/>
            <w:hideMark/>
          </w:tcPr>
          <w:p w14:paraId="32D6D9EE"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2.9 ± 0.50 (0.561)</w:t>
            </w:r>
          </w:p>
        </w:tc>
        <w:tc>
          <w:tcPr>
            <w:tcW w:w="2225" w:type="dxa"/>
            <w:tcBorders>
              <w:top w:val="nil"/>
              <w:left w:val="single" w:sz="4" w:space="0" w:color="auto"/>
              <w:bottom w:val="nil"/>
            </w:tcBorders>
            <w:shd w:val="clear" w:color="auto" w:fill="auto"/>
            <w:noWrap/>
            <w:vAlign w:val="center"/>
            <w:hideMark/>
          </w:tcPr>
          <w:p w14:paraId="7773598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 ± 0.30 (0.379)</w:t>
            </w:r>
          </w:p>
        </w:tc>
      </w:tr>
      <w:tr w:rsidR="00283F2A" w:rsidRPr="00283F2A" w14:paraId="7765F33B" w14:textId="77777777" w:rsidTr="00CE7BE1">
        <w:trPr>
          <w:trHeight w:val="428"/>
        </w:trPr>
        <w:tc>
          <w:tcPr>
            <w:tcW w:w="1471" w:type="dxa"/>
            <w:vMerge/>
            <w:tcBorders>
              <w:top w:val="nil"/>
              <w:left w:val="nil"/>
              <w:bottom w:val="single" w:sz="4" w:space="0" w:color="auto"/>
              <w:right w:val="single" w:sz="4" w:space="0" w:color="auto"/>
            </w:tcBorders>
            <w:vAlign w:val="center"/>
            <w:hideMark/>
          </w:tcPr>
          <w:p w14:paraId="3499C114"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p>
        </w:tc>
        <w:tc>
          <w:tcPr>
            <w:tcW w:w="1047" w:type="dxa"/>
            <w:tcBorders>
              <w:top w:val="nil"/>
              <w:left w:val="single" w:sz="4" w:space="0" w:color="auto"/>
              <w:bottom w:val="single" w:sz="4" w:space="0" w:color="auto"/>
              <w:right w:val="single" w:sz="4" w:space="0" w:color="auto"/>
            </w:tcBorders>
            <w:shd w:val="clear" w:color="auto" w:fill="auto"/>
            <w:noWrap/>
            <w:vAlign w:val="center"/>
            <w:hideMark/>
          </w:tcPr>
          <w:p w14:paraId="0990F29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 xml:space="preserve">Non </w:t>
            </w:r>
            <w:proofErr w:type="spellStart"/>
            <w:r w:rsidRPr="00283F2A">
              <w:rPr>
                <w:rFonts w:ascii="Times New Roman" w:eastAsia="Times New Roman" w:hAnsi="Times New Roman" w:cs="Times New Roman"/>
                <w:color w:val="000000"/>
                <w:sz w:val="20"/>
                <w:szCs w:val="20"/>
                <w:lang w:eastAsia="en-IE"/>
              </w:rPr>
              <w:t>Vacc</w:t>
            </w:r>
            <w:proofErr w:type="spellEnd"/>
          </w:p>
        </w:tc>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18B72190"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w:t>
            </w:r>
          </w:p>
        </w:tc>
        <w:tc>
          <w:tcPr>
            <w:tcW w:w="1842" w:type="dxa"/>
            <w:tcBorders>
              <w:top w:val="nil"/>
              <w:left w:val="single" w:sz="4" w:space="0" w:color="auto"/>
              <w:bottom w:val="single" w:sz="4" w:space="0" w:color="auto"/>
              <w:right w:val="single" w:sz="4" w:space="0" w:color="auto"/>
            </w:tcBorders>
            <w:shd w:val="clear" w:color="auto" w:fill="auto"/>
            <w:noWrap/>
            <w:vAlign w:val="center"/>
            <w:hideMark/>
          </w:tcPr>
          <w:p w14:paraId="448F4636"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371 ± 1.5 (0.398)</w:t>
            </w:r>
          </w:p>
        </w:tc>
        <w:tc>
          <w:tcPr>
            <w:tcW w:w="2468" w:type="dxa"/>
            <w:tcBorders>
              <w:top w:val="nil"/>
              <w:left w:val="single" w:sz="4" w:space="0" w:color="auto"/>
              <w:bottom w:val="single" w:sz="4" w:space="0" w:color="auto"/>
              <w:right w:val="single" w:sz="4" w:space="0" w:color="auto"/>
            </w:tcBorders>
            <w:shd w:val="clear" w:color="auto" w:fill="auto"/>
            <w:noWrap/>
            <w:vAlign w:val="center"/>
            <w:hideMark/>
          </w:tcPr>
          <w:p w14:paraId="47856899"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1161 ± 15 (0.381)</w:t>
            </w:r>
          </w:p>
        </w:tc>
        <w:tc>
          <w:tcPr>
            <w:tcW w:w="1811" w:type="dxa"/>
            <w:tcBorders>
              <w:top w:val="nil"/>
              <w:left w:val="single" w:sz="4" w:space="0" w:color="auto"/>
              <w:bottom w:val="single" w:sz="4" w:space="0" w:color="auto"/>
              <w:right w:val="single" w:sz="4" w:space="0" w:color="auto"/>
            </w:tcBorders>
            <w:shd w:val="clear" w:color="auto" w:fill="auto"/>
            <w:noWrap/>
            <w:vAlign w:val="center"/>
            <w:hideMark/>
          </w:tcPr>
          <w:p w14:paraId="640A8D65"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88 ± 1.1 (0.090)</w:t>
            </w:r>
          </w:p>
        </w:tc>
        <w:tc>
          <w:tcPr>
            <w:tcW w:w="2000" w:type="dxa"/>
            <w:tcBorders>
              <w:top w:val="nil"/>
              <w:left w:val="single" w:sz="4" w:space="0" w:color="auto"/>
              <w:bottom w:val="single" w:sz="4" w:space="0" w:color="auto"/>
              <w:right w:val="single" w:sz="4" w:space="0" w:color="auto"/>
            </w:tcBorders>
            <w:shd w:val="clear" w:color="auto" w:fill="auto"/>
            <w:noWrap/>
            <w:vAlign w:val="center"/>
            <w:hideMark/>
          </w:tcPr>
          <w:p w14:paraId="03DF5767"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3.3 ± 0.60 (0.561)</w:t>
            </w:r>
          </w:p>
        </w:tc>
        <w:tc>
          <w:tcPr>
            <w:tcW w:w="2225" w:type="dxa"/>
            <w:tcBorders>
              <w:top w:val="nil"/>
              <w:left w:val="single" w:sz="4" w:space="0" w:color="auto"/>
              <w:bottom w:val="single" w:sz="4" w:space="0" w:color="auto"/>
            </w:tcBorders>
            <w:shd w:val="clear" w:color="auto" w:fill="auto"/>
            <w:noWrap/>
            <w:vAlign w:val="center"/>
            <w:hideMark/>
          </w:tcPr>
          <w:p w14:paraId="2A28B9A0" w14:textId="77777777" w:rsidR="00283F2A" w:rsidRPr="00283F2A" w:rsidRDefault="00283F2A" w:rsidP="00283F2A">
            <w:pPr>
              <w:spacing w:after="0" w:line="240" w:lineRule="auto"/>
              <w:jc w:val="center"/>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lang w:eastAsia="en-IE"/>
              </w:rPr>
              <w:t>1.6 ± 0.40 (0.379)</w:t>
            </w:r>
          </w:p>
        </w:tc>
      </w:tr>
    </w:tbl>
    <w:p w14:paraId="1D3122E9"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vertAlign w:val="superscript"/>
          <w:lang w:eastAsia="en-IE"/>
        </w:rPr>
        <w:t>2</w:t>
      </w:r>
      <w:r w:rsidRPr="00283F2A">
        <w:rPr>
          <w:rFonts w:ascii="Times New Roman" w:eastAsia="Times New Roman" w:hAnsi="Times New Roman" w:cs="Times New Roman"/>
          <w:color w:val="000000"/>
          <w:sz w:val="20"/>
          <w:szCs w:val="20"/>
          <w:lang w:eastAsia="en-IE"/>
        </w:rPr>
        <w:t xml:space="preserve"> Herd </w:t>
      </w:r>
      <w:proofErr w:type="gramStart"/>
      <w:r w:rsidRPr="00283F2A">
        <w:rPr>
          <w:rFonts w:ascii="Times New Roman" w:eastAsia="Times New Roman" w:hAnsi="Times New Roman" w:cs="Times New Roman"/>
          <w:color w:val="000000"/>
          <w:sz w:val="20"/>
          <w:szCs w:val="20"/>
          <w:lang w:eastAsia="en-IE"/>
        </w:rPr>
        <w:t>size</w:t>
      </w:r>
      <w:proofErr w:type="gramEnd"/>
      <w:r w:rsidRPr="00283F2A">
        <w:rPr>
          <w:rFonts w:ascii="Times New Roman" w:eastAsia="Times New Roman" w:hAnsi="Times New Roman" w:cs="Times New Roman"/>
          <w:color w:val="000000"/>
          <w:sz w:val="20"/>
          <w:szCs w:val="20"/>
          <w:lang w:eastAsia="en-IE"/>
        </w:rPr>
        <w:t xml:space="preserve"> was divided into large herds &gt; 139, small herds &lt;72 total animals within the herd.</w:t>
      </w:r>
    </w:p>
    <w:p w14:paraId="0114FD85"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val="en-IE" w:eastAsia="en-IE"/>
        </w:rPr>
      </w:pPr>
      <w:r w:rsidRPr="00283F2A">
        <w:rPr>
          <w:rFonts w:ascii="Times New Roman" w:eastAsia="Times New Roman" w:hAnsi="Times New Roman" w:cs="Times New Roman"/>
          <w:color w:val="000000"/>
          <w:sz w:val="20"/>
          <w:szCs w:val="20"/>
          <w:vertAlign w:val="superscript"/>
          <w:lang w:eastAsia="en-IE"/>
        </w:rPr>
        <w:t>3</w:t>
      </w:r>
      <w:r w:rsidRPr="00283F2A">
        <w:rPr>
          <w:rFonts w:ascii="Times New Roman" w:eastAsia="Times New Roman" w:hAnsi="Times New Roman" w:cs="Times New Roman"/>
          <w:color w:val="000000"/>
          <w:sz w:val="20"/>
          <w:szCs w:val="20"/>
          <w:lang w:eastAsia="en-IE"/>
        </w:rPr>
        <w:t xml:space="preserve"> Movement status was defined by high movement herds &gt;18%, low movement herd &lt; 6% total inward movements per year.</w:t>
      </w:r>
    </w:p>
    <w:p w14:paraId="1D4E85A0" w14:textId="77777777" w:rsidR="00283F2A" w:rsidRPr="00283F2A" w:rsidRDefault="00283F2A" w:rsidP="00283F2A">
      <w:pPr>
        <w:spacing w:after="0" w:line="240" w:lineRule="auto"/>
        <w:rPr>
          <w:rFonts w:ascii="Times New Roman" w:eastAsia="Times New Roman" w:hAnsi="Times New Roman" w:cs="Times New Roman"/>
          <w:color w:val="000000"/>
          <w:sz w:val="20"/>
          <w:szCs w:val="20"/>
          <w:lang w:eastAsia="en-IE"/>
        </w:rPr>
      </w:pPr>
      <w:r w:rsidRPr="00283F2A">
        <w:rPr>
          <w:rFonts w:ascii="Times New Roman" w:eastAsia="Times New Roman" w:hAnsi="Times New Roman" w:cs="Times New Roman"/>
          <w:color w:val="000000"/>
          <w:sz w:val="20"/>
          <w:szCs w:val="20"/>
          <w:vertAlign w:val="superscript"/>
          <w:lang w:eastAsia="en-IE"/>
        </w:rPr>
        <w:t>4</w:t>
      </w:r>
      <w:r w:rsidRPr="00283F2A">
        <w:rPr>
          <w:rFonts w:ascii="Times New Roman" w:eastAsia="Times New Roman" w:hAnsi="Times New Roman" w:cs="Times New Roman"/>
          <w:color w:val="000000"/>
          <w:sz w:val="20"/>
          <w:szCs w:val="20"/>
          <w:lang w:eastAsia="en-IE"/>
        </w:rPr>
        <w:t xml:space="preserve"> Vaccination Status was defined by herds which had an active vaccination protocol and herds which did not have an active vaccination protocol.</w:t>
      </w:r>
    </w:p>
    <w:p w14:paraId="68690857" w14:textId="77777777" w:rsidR="00283F2A" w:rsidRPr="00283F2A" w:rsidRDefault="00283F2A" w:rsidP="00283F2A">
      <w:pPr>
        <w:spacing w:after="0" w:line="240" w:lineRule="auto"/>
        <w:rPr>
          <w:rFonts w:ascii="Times New Roman" w:eastAsia="Times New Roman" w:hAnsi="Times New Roman" w:cs="Times New Roman"/>
          <w:color w:val="000000"/>
          <w:sz w:val="20"/>
          <w:szCs w:val="20"/>
          <w:vertAlign w:val="superscript"/>
          <w:lang w:eastAsia="en-IE"/>
        </w:rPr>
      </w:pPr>
      <w:r w:rsidRPr="00283F2A">
        <w:rPr>
          <w:rFonts w:ascii="Times New Roman" w:eastAsia="Times New Roman" w:hAnsi="Times New Roman" w:cs="Times New Roman"/>
          <w:color w:val="000000"/>
          <w:sz w:val="20"/>
          <w:szCs w:val="20"/>
          <w:vertAlign w:val="superscript"/>
          <w:lang w:eastAsia="en-IE"/>
        </w:rPr>
        <w:t>5</w:t>
      </w:r>
      <w:r w:rsidRPr="00283F2A">
        <w:rPr>
          <w:rFonts w:ascii="Times New Roman" w:eastAsia="Times New Roman" w:hAnsi="Times New Roman" w:cs="Times New Roman"/>
          <w:color w:val="000000"/>
          <w:sz w:val="20"/>
          <w:szCs w:val="20"/>
          <w:lang w:eastAsia="en-IE"/>
        </w:rPr>
        <w:t xml:space="preserve"> </w:t>
      </w:r>
      <w:proofErr w:type="spellStart"/>
      <w:r w:rsidRPr="00283F2A">
        <w:rPr>
          <w:rFonts w:ascii="Times New Roman" w:eastAsia="Times New Roman" w:hAnsi="Times New Roman" w:cs="Times New Roman"/>
          <w:color w:val="000000"/>
          <w:sz w:val="20"/>
          <w:szCs w:val="20"/>
          <w:lang w:eastAsia="en-IE"/>
        </w:rPr>
        <w:t>Sero</w:t>
      </w:r>
      <w:proofErr w:type="spellEnd"/>
      <w:r w:rsidRPr="00283F2A">
        <w:rPr>
          <w:rFonts w:ascii="Times New Roman" w:eastAsia="Times New Roman" w:hAnsi="Times New Roman" w:cs="Times New Roman"/>
          <w:color w:val="000000"/>
          <w:sz w:val="20"/>
          <w:szCs w:val="20"/>
          <w:lang w:eastAsia="en-IE"/>
        </w:rPr>
        <w:t xml:space="preserve"> status refers to the level of seropositivity within the cohort of animals for each scenario, where (-) = 0%, and (+) = 100%.</w:t>
      </w:r>
    </w:p>
    <w:p w14:paraId="2071E64F" w14:textId="77777777" w:rsidR="00283F2A" w:rsidRPr="00283F2A" w:rsidRDefault="00283F2A" w:rsidP="00283F2A">
      <w:pPr>
        <w:spacing w:after="0" w:line="480" w:lineRule="auto"/>
        <w:rPr>
          <w:rFonts w:ascii="Times New Roman" w:eastAsia="Calibri" w:hAnsi="Times New Roman" w:cs="Times New Roman"/>
          <w:b/>
          <w:sz w:val="24"/>
          <w:szCs w:val="24"/>
          <w:u w:val="single"/>
        </w:rPr>
      </w:pPr>
    </w:p>
    <w:p w14:paraId="44084D40" w14:textId="77777777" w:rsidR="00283F2A" w:rsidRPr="00283F2A" w:rsidRDefault="00283F2A" w:rsidP="00283F2A">
      <w:pPr>
        <w:spacing w:after="0" w:line="480" w:lineRule="auto"/>
        <w:rPr>
          <w:rFonts w:ascii="Times New Roman" w:eastAsia="Calibri" w:hAnsi="Times New Roman" w:cs="Times New Roman"/>
          <w:b/>
          <w:sz w:val="24"/>
          <w:szCs w:val="24"/>
          <w:u w:val="single"/>
        </w:rPr>
      </w:pPr>
    </w:p>
    <w:p w14:paraId="6F855C2B" w14:textId="77777777" w:rsidR="003440D5" w:rsidRDefault="003440D5"/>
    <w:sectPr w:rsidR="003440D5" w:rsidSect="00671A0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27C4D" w14:textId="77777777" w:rsidR="005D1F89" w:rsidRPr="00671A01" w:rsidRDefault="00283F2A" w:rsidP="00671A01">
    <w:pPr>
      <w:pStyle w:val="Footer"/>
      <w:rPr>
        <w:lang w:val="en-GB"/>
      </w:rPr>
    </w:pPr>
    <w:r w:rsidRPr="00671A01">
      <w:rPr>
        <w:lang w:val="en-GB"/>
      </w:rPr>
      <w:t xml:space="preserve">* </w:t>
    </w:r>
    <w:r w:rsidRPr="00671A01">
      <w:rPr>
        <w:b/>
        <w:bCs/>
        <w:lang w:val="en-GB"/>
      </w:rPr>
      <w:t xml:space="preserve">Author for correspondence: </w:t>
    </w:r>
    <w:r w:rsidRPr="00671A01">
      <w:rPr>
        <w:lang w:val="en-GB"/>
      </w:rPr>
      <w:t>R. Lynch, E</w:t>
    </w:r>
    <w:r w:rsidRPr="00671A01">
      <w:rPr>
        <w:b/>
        <w:bCs/>
        <w:lang w:val="en-GB"/>
      </w:rPr>
      <w:t>-</w:t>
    </w:r>
    <w:r w:rsidRPr="00671A01">
      <w:rPr>
        <w:lang w:val="en-GB"/>
      </w:rPr>
      <w:t>mail: richard.lynch@teagasc.ie</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3178751"/>
      <w:docPartObj>
        <w:docPartGallery w:val="Page Numbers (Top of Page)"/>
        <w:docPartUnique/>
      </w:docPartObj>
    </w:sdtPr>
    <w:sdtEndPr>
      <w:rPr>
        <w:noProof/>
      </w:rPr>
    </w:sdtEndPr>
    <w:sdtContent>
      <w:p w14:paraId="0D886094" w14:textId="77777777" w:rsidR="005D1F89" w:rsidRDefault="00283F2A">
        <w:pPr>
          <w:pStyle w:val="Header"/>
          <w:jc w:val="right"/>
        </w:pPr>
        <w:r>
          <w:fldChar w:fldCharType="begin"/>
        </w:r>
        <w:r>
          <w:instrText xml:space="preserve"> PAGE   \* MERGEFORMAT </w:instrText>
        </w:r>
        <w:r>
          <w:fldChar w:fldCharType="separate"/>
        </w:r>
        <w:r>
          <w:rPr>
            <w:noProof/>
          </w:rPr>
          <w:t>33</w:t>
        </w:r>
        <w:r>
          <w:rPr>
            <w:noProof/>
          </w:rPr>
          <w:fldChar w:fldCharType="end"/>
        </w:r>
      </w:p>
    </w:sdtContent>
  </w:sdt>
  <w:p w14:paraId="43EDB674" w14:textId="77777777" w:rsidR="005D1F89" w:rsidRDefault="00283F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F2A"/>
    <w:rsid w:val="00283F2A"/>
    <w:rsid w:val="002D5311"/>
    <w:rsid w:val="003440D5"/>
    <w:rsid w:val="009836A9"/>
    <w:rsid w:val="00996AA9"/>
    <w:rsid w:val="009D0AC8"/>
    <w:rsid w:val="00CA5C0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AF480"/>
  <w15:chartTrackingRefBased/>
  <w15:docId w15:val="{DE126DA0-8D82-454A-90E9-C8FA0D13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F2A"/>
    <w:pPr>
      <w:tabs>
        <w:tab w:val="center" w:pos="4513"/>
        <w:tab w:val="right" w:pos="9026"/>
      </w:tabs>
      <w:spacing w:after="0" w:line="240" w:lineRule="auto"/>
    </w:pPr>
    <w:rPr>
      <w:lang w:val="en-IE"/>
    </w:rPr>
  </w:style>
  <w:style w:type="character" w:customStyle="1" w:styleId="HeaderChar">
    <w:name w:val="Header Char"/>
    <w:basedOn w:val="DefaultParagraphFont"/>
    <w:link w:val="Header"/>
    <w:uiPriority w:val="99"/>
    <w:rsid w:val="00283F2A"/>
    <w:rPr>
      <w:lang w:val="en-IE"/>
    </w:rPr>
  </w:style>
  <w:style w:type="paragraph" w:styleId="Footer">
    <w:name w:val="footer"/>
    <w:basedOn w:val="Normal"/>
    <w:link w:val="FooterChar"/>
    <w:uiPriority w:val="99"/>
    <w:unhideWhenUsed/>
    <w:rsid w:val="00283F2A"/>
    <w:pPr>
      <w:tabs>
        <w:tab w:val="center" w:pos="4513"/>
        <w:tab w:val="right" w:pos="9026"/>
      </w:tabs>
      <w:spacing w:after="0" w:line="240" w:lineRule="auto"/>
    </w:pPr>
    <w:rPr>
      <w:lang w:val="en-IE"/>
    </w:rPr>
  </w:style>
  <w:style w:type="character" w:customStyle="1" w:styleId="FooterChar">
    <w:name w:val="Footer Char"/>
    <w:basedOn w:val="DefaultParagraphFont"/>
    <w:link w:val="Footer"/>
    <w:uiPriority w:val="99"/>
    <w:rsid w:val="00283F2A"/>
    <w:rPr>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FF0000"/>
          </a:solid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Sage</dc:creator>
  <cp:keywords/>
  <dc:description/>
  <cp:lastModifiedBy>Alison Sage</cp:lastModifiedBy>
  <cp:revision>1</cp:revision>
  <dcterms:created xsi:type="dcterms:W3CDTF">2018-07-09T09:39:00Z</dcterms:created>
  <dcterms:modified xsi:type="dcterms:W3CDTF">2018-07-09T09:42:00Z</dcterms:modified>
</cp:coreProperties>
</file>