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A3EC" w14:textId="10D2FADA" w:rsidR="00657130" w:rsidRPr="002D0845" w:rsidRDefault="009C15D7" w:rsidP="00131F13">
      <w:pPr>
        <w:autoSpaceDE w:val="0"/>
        <w:autoSpaceDN w:val="0"/>
        <w:adjustRightInd w:val="0"/>
        <w:spacing w:line="480" w:lineRule="auto"/>
        <w:rPr>
          <w:kern w:val="0"/>
          <w:sz w:val="24"/>
        </w:rPr>
      </w:pPr>
      <w:r w:rsidRPr="00131F13">
        <w:rPr>
          <w:b/>
          <w:sz w:val="24"/>
        </w:rPr>
        <w:t xml:space="preserve">Supplementary Appendix A. </w:t>
      </w:r>
      <w:r w:rsidRPr="00657130">
        <w:rPr>
          <w:kern w:val="0"/>
          <w:sz w:val="24"/>
        </w:rPr>
        <w:t>Materials and methods in the present study.</w:t>
      </w:r>
      <w:r w:rsidRPr="00657130">
        <w:rPr>
          <w:b/>
          <w:kern w:val="0"/>
          <w:sz w:val="24"/>
        </w:rPr>
        <w:t xml:space="preserve"> </w:t>
      </w:r>
      <w:r w:rsidR="00AA20BC" w:rsidRPr="00657130">
        <w:rPr>
          <w:kern w:val="0"/>
          <w:sz w:val="24"/>
        </w:rPr>
        <w:t xml:space="preserve">Citations either </w:t>
      </w:r>
      <w:r w:rsidR="00657130" w:rsidRPr="008E3A87">
        <w:rPr>
          <w:kern w:val="0"/>
          <w:sz w:val="24"/>
        </w:rPr>
        <w:t>in</w:t>
      </w:r>
      <w:r w:rsidR="00AA20BC" w:rsidRPr="008E3A87">
        <w:rPr>
          <w:kern w:val="0"/>
          <w:sz w:val="24"/>
        </w:rPr>
        <w:t xml:space="preserve"> the reference section of the main article or are listed at the end of this </w:t>
      </w:r>
      <w:r w:rsidR="00657130" w:rsidRPr="008E3A87">
        <w:rPr>
          <w:kern w:val="0"/>
          <w:sz w:val="24"/>
        </w:rPr>
        <w:t>appendix.</w:t>
      </w:r>
    </w:p>
    <w:p w14:paraId="683D4D89" w14:textId="77777777" w:rsidR="00657130" w:rsidRPr="008C230E" w:rsidRDefault="00657130" w:rsidP="00131F13">
      <w:pPr>
        <w:autoSpaceDE w:val="0"/>
        <w:autoSpaceDN w:val="0"/>
        <w:adjustRightInd w:val="0"/>
        <w:spacing w:line="480" w:lineRule="auto"/>
        <w:rPr>
          <w:kern w:val="0"/>
          <w:sz w:val="24"/>
        </w:rPr>
      </w:pPr>
    </w:p>
    <w:p w14:paraId="31F4446D" w14:textId="77777777" w:rsidR="00421D6B" w:rsidRPr="00A851CB" w:rsidRDefault="00421D6B" w:rsidP="00131F13">
      <w:pPr>
        <w:autoSpaceDE w:val="0"/>
        <w:autoSpaceDN w:val="0"/>
        <w:adjustRightInd w:val="0"/>
        <w:spacing w:line="480" w:lineRule="auto"/>
        <w:rPr>
          <w:b/>
          <w:sz w:val="24"/>
        </w:rPr>
      </w:pPr>
      <w:r w:rsidRPr="00A851CB">
        <w:rPr>
          <w:b/>
          <w:sz w:val="24"/>
        </w:rPr>
        <w:t xml:space="preserve">Taxon sampling </w:t>
      </w:r>
    </w:p>
    <w:p w14:paraId="02F1DC2C" w14:textId="16104935" w:rsidR="00421D6B" w:rsidRDefault="00421D6B" w:rsidP="00131F13">
      <w:pPr>
        <w:autoSpaceDE w:val="0"/>
        <w:autoSpaceDN w:val="0"/>
        <w:adjustRightInd w:val="0"/>
        <w:spacing w:line="480" w:lineRule="auto"/>
        <w:ind w:firstLine="420"/>
        <w:rPr>
          <w:sz w:val="24"/>
        </w:rPr>
      </w:pPr>
      <w:r w:rsidRPr="00A851CB">
        <w:rPr>
          <w:color w:val="000000"/>
          <w:kern w:val="0"/>
          <w:sz w:val="24"/>
        </w:rPr>
        <w:t xml:space="preserve">All </w:t>
      </w:r>
      <w:proofErr w:type="spellStart"/>
      <w:r w:rsidR="00657130" w:rsidRPr="00A851CB">
        <w:rPr>
          <w:i/>
          <w:color w:val="000000"/>
          <w:sz w:val="24"/>
        </w:rPr>
        <w:t>Eulecanium</w:t>
      </w:r>
      <w:proofErr w:type="spellEnd"/>
      <w:r w:rsidRPr="00A851CB">
        <w:rPr>
          <w:i/>
          <w:color w:val="000000"/>
          <w:kern w:val="0"/>
          <w:sz w:val="24"/>
        </w:rPr>
        <w:t xml:space="preserve"> </w:t>
      </w:r>
      <w:proofErr w:type="spellStart"/>
      <w:r w:rsidRPr="00A851CB">
        <w:rPr>
          <w:i/>
          <w:color w:val="000000"/>
          <w:kern w:val="0"/>
          <w:sz w:val="24"/>
        </w:rPr>
        <w:t>giganteum</w:t>
      </w:r>
      <w:proofErr w:type="spellEnd"/>
      <w:r w:rsidRPr="00A851CB">
        <w:rPr>
          <w:color w:val="000000"/>
          <w:kern w:val="0"/>
          <w:sz w:val="24"/>
        </w:rPr>
        <w:t xml:space="preserve"> and </w:t>
      </w:r>
      <w:r w:rsidRPr="00A851CB">
        <w:rPr>
          <w:i/>
          <w:color w:val="000000"/>
          <w:kern w:val="0"/>
          <w:sz w:val="24"/>
        </w:rPr>
        <w:t xml:space="preserve">E. </w:t>
      </w:r>
      <w:proofErr w:type="spellStart"/>
      <w:r w:rsidRPr="00A851CB">
        <w:rPr>
          <w:i/>
          <w:color w:val="000000"/>
          <w:kern w:val="0"/>
          <w:sz w:val="24"/>
        </w:rPr>
        <w:t>kuwanai</w:t>
      </w:r>
      <w:proofErr w:type="spellEnd"/>
      <w:r w:rsidRPr="00A851CB">
        <w:rPr>
          <w:color w:val="000000"/>
          <w:kern w:val="0"/>
          <w:sz w:val="24"/>
        </w:rPr>
        <w:t xml:space="preserve"> specimens in this study were obtained from orchards, ornamental plants</w:t>
      </w:r>
      <w:r>
        <w:rPr>
          <w:color w:val="000000"/>
          <w:kern w:val="0"/>
          <w:sz w:val="24"/>
        </w:rPr>
        <w:t>,</w:t>
      </w:r>
      <w:r w:rsidRPr="00A851CB">
        <w:rPr>
          <w:color w:val="000000"/>
          <w:kern w:val="0"/>
          <w:sz w:val="24"/>
        </w:rPr>
        <w:t xml:space="preserve"> and street trees from April 2011 to May 2013 </w:t>
      </w:r>
      <w:bookmarkStart w:id="0" w:name="OLE_LINK19"/>
      <w:bookmarkStart w:id="1" w:name="OLE_LINK22"/>
      <w:r w:rsidRPr="00A851CB">
        <w:rPr>
          <w:color w:val="000000"/>
          <w:kern w:val="0"/>
          <w:sz w:val="24"/>
        </w:rPr>
        <w:t>in China</w:t>
      </w:r>
      <w:bookmarkEnd w:id="0"/>
      <w:bookmarkEnd w:id="1"/>
      <w:r w:rsidRPr="00A851CB">
        <w:rPr>
          <w:color w:val="000000"/>
          <w:kern w:val="0"/>
          <w:sz w:val="24"/>
        </w:rPr>
        <w:t xml:space="preserve">. The </w:t>
      </w:r>
      <w:proofErr w:type="spellStart"/>
      <w:r w:rsidRPr="00A851CB">
        <w:rPr>
          <w:i/>
          <w:color w:val="000000"/>
          <w:kern w:val="0"/>
          <w:sz w:val="24"/>
        </w:rPr>
        <w:t>Eulecanium</w:t>
      </w:r>
      <w:proofErr w:type="spellEnd"/>
      <w:r w:rsidRPr="00A851CB">
        <w:rPr>
          <w:color w:val="000000"/>
          <w:kern w:val="0"/>
          <w:sz w:val="24"/>
        </w:rPr>
        <w:t xml:space="preserve"> species were collected from 19 sites located in 14 provinces. </w:t>
      </w:r>
      <w:r>
        <w:rPr>
          <w:color w:val="000000"/>
          <w:kern w:val="0"/>
          <w:sz w:val="24"/>
        </w:rPr>
        <w:t>Their</w:t>
      </w:r>
      <w:r w:rsidRPr="00A851CB">
        <w:rPr>
          <w:color w:val="000000"/>
          <w:kern w:val="0"/>
          <w:sz w:val="24"/>
        </w:rPr>
        <w:t xml:space="preserve"> geographical distribution is shown in </w:t>
      </w:r>
      <w:r w:rsidR="00657130">
        <w:rPr>
          <w:color w:val="000000"/>
          <w:kern w:val="0"/>
          <w:sz w:val="24"/>
        </w:rPr>
        <w:t>F</w:t>
      </w:r>
      <w:r w:rsidR="00657130" w:rsidRPr="00A851CB">
        <w:rPr>
          <w:color w:val="000000"/>
          <w:kern w:val="0"/>
          <w:sz w:val="24"/>
        </w:rPr>
        <w:t>ig</w:t>
      </w:r>
      <w:r w:rsidR="00657130">
        <w:rPr>
          <w:color w:val="000000"/>
          <w:kern w:val="0"/>
          <w:sz w:val="24"/>
        </w:rPr>
        <w:t>.</w:t>
      </w:r>
      <w:r w:rsidR="00657130" w:rsidRPr="00A851CB">
        <w:rPr>
          <w:color w:val="000000"/>
          <w:kern w:val="0"/>
          <w:sz w:val="24"/>
        </w:rPr>
        <w:t xml:space="preserve"> </w:t>
      </w:r>
      <w:r w:rsidRPr="00A851CB">
        <w:rPr>
          <w:color w:val="000000"/>
          <w:kern w:val="0"/>
          <w:sz w:val="24"/>
        </w:rPr>
        <w:t xml:space="preserve">2. </w:t>
      </w:r>
      <w:r w:rsidRPr="00A851CB">
        <w:rPr>
          <w:sz w:val="24"/>
        </w:rPr>
        <w:t xml:space="preserve">Detailed information about locations, host plants, </w:t>
      </w:r>
      <w:r>
        <w:rPr>
          <w:sz w:val="24"/>
        </w:rPr>
        <w:t xml:space="preserve">and </w:t>
      </w:r>
      <w:r w:rsidRPr="00A851CB">
        <w:rPr>
          <w:sz w:val="24"/>
        </w:rPr>
        <w:t>collection d</w:t>
      </w:r>
      <w:r>
        <w:rPr>
          <w:sz w:val="24"/>
        </w:rPr>
        <w:t>ates are presented in</w:t>
      </w:r>
      <w:r w:rsidRPr="00A851CB">
        <w:rPr>
          <w:sz w:val="24"/>
        </w:rPr>
        <w:t xml:space="preserve"> </w:t>
      </w:r>
      <w:r w:rsidRPr="00801F62">
        <w:rPr>
          <w:kern w:val="0"/>
          <w:sz w:val="24"/>
        </w:rPr>
        <w:t>Supplementary</w:t>
      </w:r>
      <w:r>
        <w:rPr>
          <w:kern w:val="0"/>
          <w:sz w:val="24"/>
        </w:rPr>
        <w:t xml:space="preserve"> </w:t>
      </w:r>
      <w:r w:rsidR="008A77C4">
        <w:rPr>
          <w:kern w:val="0"/>
          <w:sz w:val="24"/>
        </w:rPr>
        <w:t>Appendix B and C</w:t>
      </w:r>
      <w:r w:rsidRPr="00A851CB">
        <w:rPr>
          <w:sz w:val="24"/>
        </w:rPr>
        <w:t xml:space="preserve">. </w:t>
      </w:r>
      <w:r>
        <w:rPr>
          <w:sz w:val="24"/>
        </w:rPr>
        <w:t>A</w:t>
      </w:r>
      <w:r w:rsidRPr="00A851CB">
        <w:rPr>
          <w:sz w:val="24"/>
        </w:rPr>
        <w:t xml:space="preserve">ll adult females were </w:t>
      </w:r>
      <w:r>
        <w:rPr>
          <w:sz w:val="24"/>
        </w:rPr>
        <w:t xml:space="preserve">initially classified according to </w:t>
      </w:r>
      <w:r w:rsidRPr="00A851CB">
        <w:rPr>
          <w:sz w:val="24"/>
        </w:rPr>
        <w:t>dorsum morphology (wrinkled or smooth) in the post-reproductive stage</w:t>
      </w:r>
      <w:r>
        <w:rPr>
          <w:sz w:val="24"/>
        </w:rPr>
        <w:t>.</w:t>
      </w:r>
      <w:r w:rsidRPr="00A851CB">
        <w:rPr>
          <w:sz w:val="24"/>
        </w:rPr>
        <w:t xml:space="preserve"> </w:t>
      </w:r>
      <w:r>
        <w:rPr>
          <w:sz w:val="24"/>
        </w:rPr>
        <w:t>R</w:t>
      </w:r>
      <w:r w:rsidRPr="00A851CB">
        <w:rPr>
          <w:sz w:val="24"/>
        </w:rPr>
        <w:t>eproductive</w:t>
      </w:r>
      <w:r>
        <w:rPr>
          <w:sz w:val="24"/>
        </w:rPr>
        <w:t>-</w:t>
      </w:r>
      <w:r w:rsidRPr="00A851CB">
        <w:rPr>
          <w:sz w:val="24"/>
        </w:rPr>
        <w:t>stage</w:t>
      </w:r>
      <w:r>
        <w:rPr>
          <w:sz w:val="24"/>
        </w:rPr>
        <w:t xml:space="preserve"> individuals</w:t>
      </w:r>
      <w:r w:rsidRPr="00A851CB">
        <w:rPr>
          <w:sz w:val="24"/>
        </w:rPr>
        <w:t xml:space="preserve"> </w:t>
      </w:r>
      <w:r>
        <w:rPr>
          <w:sz w:val="24"/>
        </w:rPr>
        <w:t xml:space="preserve">and </w:t>
      </w:r>
      <w:r w:rsidRPr="00A851CB">
        <w:rPr>
          <w:sz w:val="24"/>
        </w:rPr>
        <w:t xml:space="preserve">nymphs were </w:t>
      </w:r>
      <w:r>
        <w:rPr>
          <w:sz w:val="24"/>
        </w:rPr>
        <w:t xml:space="preserve">not classified because </w:t>
      </w:r>
      <w:r w:rsidRPr="008A31C0">
        <w:rPr>
          <w:sz w:val="24"/>
        </w:rPr>
        <w:t xml:space="preserve">identification </w:t>
      </w:r>
      <w:r>
        <w:rPr>
          <w:sz w:val="24"/>
        </w:rPr>
        <w:t>could not be determined</w:t>
      </w:r>
      <w:r w:rsidRPr="00A851CB">
        <w:rPr>
          <w:sz w:val="24"/>
        </w:rPr>
        <w:t xml:space="preserve">. </w:t>
      </w:r>
    </w:p>
    <w:p w14:paraId="39E8A2DC" w14:textId="77777777" w:rsidR="008E3A87" w:rsidRPr="00A851CB" w:rsidRDefault="008E3A87" w:rsidP="00131F13">
      <w:pPr>
        <w:autoSpaceDE w:val="0"/>
        <w:autoSpaceDN w:val="0"/>
        <w:adjustRightInd w:val="0"/>
        <w:spacing w:line="480" w:lineRule="auto"/>
        <w:ind w:firstLine="420"/>
        <w:rPr>
          <w:sz w:val="24"/>
        </w:rPr>
      </w:pPr>
    </w:p>
    <w:p w14:paraId="13983DE8" w14:textId="5DE028F2" w:rsidR="00421D6B" w:rsidRPr="00A851CB" w:rsidRDefault="00421D6B" w:rsidP="00421D6B">
      <w:pPr>
        <w:spacing w:beforeLines="50" w:before="156" w:afterLines="50" w:after="156" w:line="480" w:lineRule="auto"/>
        <w:rPr>
          <w:b/>
          <w:sz w:val="24"/>
        </w:rPr>
      </w:pPr>
      <w:r w:rsidRPr="00A851CB">
        <w:rPr>
          <w:b/>
          <w:sz w:val="24"/>
        </w:rPr>
        <w:t>DNA extraction, polymerase chain reaction (PCR)</w:t>
      </w:r>
      <w:r>
        <w:rPr>
          <w:b/>
          <w:sz w:val="24"/>
        </w:rPr>
        <w:t xml:space="preserve"> amplification</w:t>
      </w:r>
      <w:r w:rsidR="008E3A87">
        <w:rPr>
          <w:b/>
          <w:sz w:val="24"/>
        </w:rPr>
        <w:t>,</w:t>
      </w:r>
      <w:r w:rsidRPr="00A851CB">
        <w:rPr>
          <w:b/>
          <w:sz w:val="24"/>
        </w:rPr>
        <w:t xml:space="preserve"> and sequencing</w:t>
      </w:r>
    </w:p>
    <w:p w14:paraId="528BB06B" w14:textId="52DD3C5E" w:rsidR="00421D6B" w:rsidRPr="007B180F" w:rsidRDefault="00421D6B" w:rsidP="00131F13">
      <w:pPr>
        <w:autoSpaceDE w:val="0"/>
        <w:autoSpaceDN w:val="0"/>
        <w:adjustRightInd w:val="0"/>
        <w:spacing w:line="480" w:lineRule="auto"/>
        <w:ind w:firstLine="420"/>
        <w:rPr>
          <w:rFonts w:ascii="宋体" w:hAnsi="宋体" w:cs="宋体"/>
          <w:sz w:val="24"/>
        </w:rPr>
      </w:pPr>
      <w:r w:rsidRPr="00A851CB">
        <w:rPr>
          <w:sz w:val="24"/>
        </w:rPr>
        <w:t>The sam</w:t>
      </w:r>
      <w:r>
        <w:rPr>
          <w:sz w:val="24"/>
        </w:rPr>
        <w:t>ples were placed in 95% ethanol</w:t>
      </w:r>
      <w:r w:rsidRPr="00A851CB">
        <w:rPr>
          <w:sz w:val="24"/>
        </w:rPr>
        <w:t xml:space="preserve"> and </w:t>
      </w:r>
      <w:r>
        <w:rPr>
          <w:sz w:val="24"/>
        </w:rPr>
        <w:t>stored at</w:t>
      </w:r>
      <w:r w:rsidRPr="00A851CB">
        <w:rPr>
          <w:sz w:val="24"/>
        </w:rPr>
        <w:t xml:space="preserve"> -20</w:t>
      </w:r>
      <w:r w:rsidR="008E3A87">
        <w:rPr>
          <w:sz w:val="24"/>
        </w:rPr>
        <w:t xml:space="preserve"> </w:t>
      </w:r>
      <w:r w:rsidRPr="00A851CB">
        <w:rPr>
          <w:sz w:val="24"/>
        </w:rPr>
        <w:t xml:space="preserve">°C until DNA extraction. </w:t>
      </w:r>
      <w:r w:rsidRPr="00A851CB">
        <w:rPr>
          <w:color w:val="000000"/>
          <w:kern w:val="0"/>
          <w:sz w:val="24"/>
        </w:rPr>
        <w:t xml:space="preserve">A total of </w:t>
      </w:r>
      <w:r w:rsidRPr="00A851CB">
        <w:rPr>
          <w:kern w:val="0"/>
          <w:sz w:val="24"/>
        </w:rPr>
        <w:t>200</w:t>
      </w:r>
      <w:r w:rsidRPr="00A851CB">
        <w:rPr>
          <w:color w:val="FF0000"/>
          <w:kern w:val="0"/>
          <w:sz w:val="24"/>
        </w:rPr>
        <w:t xml:space="preserve"> </w:t>
      </w:r>
      <w:r w:rsidRPr="00A851CB">
        <w:rPr>
          <w:color w:val="000000"/>
          <w:kern w:val="0"/>
          <w:sz w:val="24"/>
        </w:rPr>
        <w:t>samples</w:t>
      </w:r>
      <w:r w:rsidRPr="00A851CB">
        <w:rPr>
          <w:sz w:val="24"/>
        </w:rPr>
        <w:t xml:space="preserve"> </w:t>
      </w:r>
      <w:r>
        <w:rPr>
          <w:sz w:val="24"/>
        </w:rPr>
        <w:t>were</w:t>
      </w:r>
      <w:r w:rsidRPr="00A851CB">
        <w:rPr>
          <w:sz w:val="24"/>
        </w:rPr>
        <w:t xml:space="preserve"> used for molecular identification. </w:t>
      </w:r>
      <w:r w:rsidR="00C06D8D">
        <w:rPr>
          <w:kern w:val="0"/>
          <w:sz w:val="24"/>
        </w:rPr>
        <w:t xml:space="preserve">Molecular </w:t>
      </w:r>
      <w:r w:rsidR="00C06D8D" w:rsidRPr="00A851CB">
        <w:rPr>
          <w:kern w:val="0"/>
          <w:sz w:val="24"/>
        </w:rPr>
        <w:t xml:space="preserve">identification </w:t>
      </w:r>
      <w:r w:rsidR="00C06D8D">
        <w:rPr>
          <w:kern w:val="0"/>
          <w:sz w:val="24"/>
        </w:rPr>
        <w:t xml:space="preserve">has </w:t>
      </w:r>
      <w:r w:rsidR="00C06D8D" w:rsidRPr="00A851CB">
        <w:rPr>
          <w:kern w:val="0"/>
          <w:sz w:val="24"/>
        </w:rPr>
        <w:t>rarely</w:t>
      </w:r>
      <w:r w:rsidR="00C06D8D">
        <w:rPr>
          <w:kern w:val="0"/>
          <w:sz w:val="24"/>
        </w:rPr>
        <w:t xml:space="preserve"> been</w:t>
      </w:r>
      <w:r w:rsidR="00C06D8D" w:rsidRPr="00A851CB">
        <w:rPr>
          <w:kern w:val="0"/>
          <w:sz w:val="24"/>
        </w:rPr>
        <w:t xml:space="preserve"> used in </w:t>
      </w:r>
      <w:proofErr w:type="spellStart"/>
      <w:r w:rsidR="00C06D8D" w:rsidRPr="00A851CB">
        <w:rPr>
          <w:i/>
          <w:kern w:val="0"/>
          <w:sz w:val="24"/>
        </w:rPr>
        <w:t>Eulecanium</w:t>
      </w:r>
      <w:proofErr w:type="spellEnd"/>
      <w:r w:rsidR="00C06D8D" w:rsidRPr="00A851CB">
        <w:rPr>
          <w:kern w:val="0"/>
          <w:sz w:val="24"/>
        </w:rPr>
        <w:t xml:space="preserve"> species</w:t>
      </w:r>
      <w:r w:rsidR="00C06D8D">
        <w:rPr>
          <w:kern w:val="0"/>
          <w:sz w:val="24"/>
        </w:rPr>
        <w:t>,</w:t>
      </w:r>
      <w:r w:rsidR="00C06D8D" w:rsidRPr="00A851CB">
        <w:rPr>
          <w:kern w:val="0"/>
          <w:sz w:val="24"/>
        </w:rPr>
        <w:t xml:space="preserve"> and only two COI sequences from </w:t>
      </w:r>
      <w:r w:rsidR="00C06D8D" w:rsidRPr="00A851CB">
        <w:rPr>
          <w:i/>
          <w:kern w:val="0"/>
          <w:sz w:val="24"/>
        </w:rPr>
        <w:t xml:space="preserve">E. </w:t>
      </w:r>
      <w:proofErr w:type="spellStart"/>
      <w:r w:rsidR="00C06D8D" w:rsidRPr="00A851CB">
        <w:rPr>
          <w:i/>
          <w:kern w:val="0"/>
          <w:sz w:val="24"/>
        </w:rPr>
        <w:t>kunoense</w:t>
      </w:r>
      <w:proofErr w:type="spellEnd"/>
      <w:r w:rsidR="00C06D8D" w:rsidRPr="00A851CB">
        <w:rPr>
          <w:kern w:val="0"/>
          <w:sz w:val="24"/>
        </w:rPr>
        <w:t xml:space="preserve"> </w:t>
      </w:r>
      <w:r w:rsidR="00C06D8D">
        <w:rPr>
          <w:kern w:val="0"/>
          <w:sz w:val="24"/>
        </w:rPr>
        <w:t>we</w:t>
      </w:r>
      <w:r w:rsidR="00C06D8D" w:rsidRPr="00A851CB">
        <w:rPr>
          <w:kern w:val="0"/>
          <w:sz w:val="24"/>
        </w:rPr>
        <w:t xml:space="preserve">re found in the </w:t>
      </w:r>
      <w:proofErr w:type="spellStart"/>
      <w:r w:rsidR="00C06D8D">
        <w:rPr>
          <w:kern w:val="0"/>
          <w:sz w:val="24"/>
        </w:rPr>
        <w:t>G</w:t>
      </w:r>
      <w:r w:rsidR="00C06D8D" w:rsidRPr="00A851CB">
        <w:rPr>
          <w:kern w:val="0"/>
          <w:sz w:val="24"/>
        </w:rPr>
        <w:t>en</w:t>
      </w:r>
      <w:r w:rsidR="00C06D8D">
        <w:rPr>
          <w:kern w:val="0"/>
          <w:sz w:val="24"/>
        </w:rPr>
        <w:t>B</w:t>
      </w:r>
      <w:r w:rsidR="00C06D8D" w:rsidRPr="00A851CB">
        <w:rPr>
          <w:kern w:val="0"/>
          <w:sz w:val="24"/>
        </w:rPr>
        <w:t>ank</w:t>
      </w:r>
      <w:proofErr w:type="spellEnd"/>
      <w:r w:rsidR="00C06D8D" w:rsidRPr="00A851CB">
        <w:rPr>
          <w:kern w:val="0"/>
          <w:sz w:val="24"/>
        </w:rPr>
        <w:t xml:space="preserve"> database</w:t>
      </w:r>
      <w:r w:rsidR="00C06D8D">
        <w:rPr>
          <w:kern w:val="0"/>
          <w:sz w:val="24"/>
        </w:rPr>
        <w:t xml:space="preserve">. </w:t>
      </w:r>
      <w:r w:rsidR="007A4ED9" w:rsidRPr="00A851CB">
        <w:rPr>
          <w:kern w:val="0"/>
          <w:sz w:val="24"/>
        </w:rPr>
        <w:t xml:space="preserve">We initially attempted to extract DNA from </w:t>
      </w:r>
      <w:r w:rsidR="007A4ED9">
        <w:rPr>
          <w:kern w:val="0"/>
          <w:sz w:val="24"/>
        </w:rPr>
        <w:t>a whole</w:t>
      </w:r>
      <w:r w:rsidR="007A4ED9" w:rsidRPr="00A851CB">
        <w:rPr>
          <w:kern w:val="0"/>
          <w:sz w:val="24"/>
        </w:rPr>
        <w:t xml:space="preserve"> adult female individual, but almost all trials failed to obtain sequences of </w:t>
      </w:r>
      <w:r w:rsidR="007A4ED9">
        <w:rPr>
          <w:kern w:val="0"/>
          <w:sz w:val="24"/>
        </w:rPr>
        <w:t xml:space="preserve">the </w:t>
      </w:r>
      <w:r w:rsidR="007A4ED9" w:rsidRPr="00A851CB">
        <w:rPr>
          <w:kern w:val="0"/>
          <w:sz w:val="24"/>
        </w:rPr>
        <w:t>target</w:t>
      </w:r>
      <w:r w:rsidR="007A4ED9">
        <w:rPr>
          <w:kern w:val="0"/>
          <w:sz w:val="24"/>
        </w:rPr>
        <w:t>ed</w:t>
      </w:r>
      <w:r w:rsidR="007A4ED9" w:rsidRPr="00A851CB">
        <w:rPr>
          <w:kern w:val="0"/>
          <w:sz w:val="24"/>
        </w:rPr>
        <w:t xml:space="preserve"> region, as indicated by </w:t>
      </w:r>
      <w:r w:rsidR="007A4ED9">
        <w:rPr>
          <w:kern w:val="0"/>
          <w:sz w:val="24"/>
        </w:rPr>
        <w:t xml:space="preserve">a </w:t>
      </w:r>
      <w:r w:rsidR="007A4ED9" w:rsidRPr="00A851CB">
        <w:rPr>
          <w:kern w:val="0"/>
          <w:sz w:val="24"/>
        </w:rPr>
        <w:t xml:space="preserve">mixed </w:t>
      </w:r>
      <w:r w:rsidR="007A4ED9">
        <w:rPr>
          <w:kern w:val="0"/>
          <w:sz w:val="24"/>
        </w:rPr>
        <w:t xml:space="preserve">DNA sequencing </w:t>
      </w:r>
      <w:r w:rsidR="007A4ED9" w:rsidRPr="00A851CB">
        <w:rPr>
          <w:kern w:val="0"/>
          <w:sz w:val="24"/>
        </w:rPr>
        <w:t>signal (multiple peaks).</w:t>
      </w:r>
      <w:r w:rsidR="007A4ED9">
        <w:rPr>
          <w:kern w:val="0"/>
          <w:sz w:val="24"/>
        </w:rPr>
        <w:t xml:space="preserve"> </w:t>
      </w:r>
      <w:r w:rsidR="00C06D8D">
        <w:rPr>
          <w:kern w:val="0"/>
          <w:sz w:val="24"/>
        </w:rPr>
        <w:t>U</w:t>
      </w:r>
      <w:r w:rsidR="00C06D8D" w:rsidRPr="00A851CB">
        <w:rPr>
          <w:kern w:val="0"/>
          <w:sz w:val="24"/>
        </w:rPr>
        <w:t xml:space="preserve">niversal primers and non-target DNA interference </w:t>
      </w:r>
      <w:r w:rsidR="00C06D8D">
        <w:rPr>
          <w:kern w:val="0"/>
          <w:sz w:val="24"/>
        </w:rPr>
        <w:t>by</w:t>
      </w:r>
      <w:r w:rsidR="00C06D8D" w:rsidRPr="00A851CB">
        <w:rPr>
          <w:kern w:val="0"/>
          <w:sz w:val="24"/>
        </w:rPr>
        <w:t xml:space="preserve"> </w:t>
      </w:r>
      <w:proofErr w:type="spellStart"/>
      <w:r w:rsidR="00C06D8D" w:rsidRPr="00A851CB">
        <w:rPr>
          <w:kern w:val="0"/>
          <w:sz w:val="24"/>
        </w:rPr>
        <w:t>endoparasites</w:t>
      </w:r>
      <w:proofErr w:type="spellEnd"/>
      <w:r w:rsidR="00C06D8D">
        <w:rPr>
          <w:kern w:val="0"/>
          <w:sz w:val="24"/>
        </w:rPr>
        <w:t>,</w:t>
      </w:r>
      <w:r w:rsidR="00C06D8D" w:rsidRPr="00A851CB">
        <w:rPr>
          <w:kern w:val="0"/>
          <w:sz w:val="24"/>
        </w:rPr>
        <w:t xml:space="preserve"> </w:t>
      </w:r>
      <w:r w:rsidR="00C06D8D" w:rsidRPr="00A851CB">
        <w:rPr>
          <w:kern w:val="0"/>
          <w:sz w:val="24"/>
        </w:rPr>
        <w:lastRenderedPageBreak/>
        <w:t xml:space="preserve">including some parasitoid wasps and </w:t>
      </w:r>
      <w:hyperlink r:id="rId7" w:history="1">
        <w:r w:rsidR="00C06D8D" w:rsidRPr="00A851CB">
          <w:rPr>
            <w:kern w:val="0"/>
            <w:sz w:val="24"/>
          </w:rPr>
          <w:t>moth</w:t>
        </w:r>
      </w:hyperlink>
      <w:r w:rsidR="00C06D8D" w:rsidRPr="00A851CB">
        <w:rPr>
          <w:kern w:val="0"/>
          <w:sz w:val="24"/>
        </w:rPr>
        <w:t>s</w:t>
      </w:r>
      <w:r w:rsidR="00C06D8D">
        <w:rPr>
          <w:kern w:val="0"/>
          <w:sz w:val="24"/>
        </w:rPr>
        <w:t xml:space="preserve">, complicated the use of this approach. </w:t>
      </w:r>
      <w:r>
        <w:rPr>
          <w:kern w:val="0"/>
          <w:sz w:val="24"/>
        </w:rPr>
        <w:t>T</w:t>
      </w:r>
      <w:r w:rsidRPr="00A851CB">
        <w:rPr>
          <w:kern w:val="0"/>
          <w:sz w:val="24"/>
        </w:rPr>
        <w:t xml:space="preserve">he adult </w:t>
      </w:r>
      <w:proofErr w:type="spellStart"/>
      <w:r w:rsidRPr="00A851CB">
        <w:rPr>
          <w:kern w:val="0"/>
          <w:sz w:val="24"/>
        </w:rPr>
        <w:t>Coccoidea</w:t>
      </w:r>
      <w:proofErr w:type="spellEnd"/>
      <w:r w:rsidRPr="00A851CB">
        <w:rPr>
          <w:kern w:val="0"/>
          <w:sz w:val="24"/>
        </w:rPr>
        <w:t xml:space="preserve"> females range</w:t>
      </w:r>
      <w:r>
        <w:rPr>
          <w:kern w:val="0"/>
          <w:sz w:val="24"/>
        </w:rPr>
        <w:t>d</w:t>
      </w:r>
      <w:r w:rsidRPr="00A851CB">
        <w:rPr>
          <w:kern w:val="0"/>
          <w:sz w:val="24"/>
        </w:rPr>
        <w:t xml:space="preserve"> from </w:t>
      </w:r>
      <w:r>
        <w:rPr>
          <w:kern w:val="0"/>
          <w:sz w:val="24"/>
        </w:rPr>
        <w:t xml:space="preserve">1.0 to 18 mm in length; </w:t>
      </w:r>
      <w:r w:rsidRPr="00A851CB">
        <w:rPr>
          <w:i/>
          <w:kern w:val="0"/>
          <w:sz w:val="24"/>
        </w:rPr>
        <w:t xml:space="preserve">E. </w:t>
      </w:r>
      <w:proofErr w:type="spellStart"/>
      <w:r w:rsidRPr="00A851CB">
        <w:rPr>
          <w:i/>
          <w:kern w:val="0"/>
          <w:sz w:val="24"/>
        </w:rPr>
        <w:t>giganteum</w:t>
      </w:r>
      <w:proofErr w:type="spellEnd"/>
      <w:r w:rsidRPr="00A851CB">
        <w:rPr>
          <w:kern w:val="0"/>
          <w:sz w:val="24"/>
        </w:rPr>
        <w:t xml:space="preserve"> can grow up to </w:t>
      </w:r>
      <w:r>
        <w:rPr>
          <w:kern w:val="0"/>
          <w:sz w:val="24"/>
        </w:rPr>
        <w:t xml:space="preserve">approximately </w:t>
      </w:r>
      <w:r w:rsidRPr="00A851CB">
        <w:rPr>
          <w:kern w:val="0"/>
          <w:sz w:val="24"/>
        </w:rPr>
        <w:t xml:space="preserve">18 mm </w:t>
      </w:r>
      <w:r>
        <w:rPr>
          <w:kern w:val="0"/>
          <w:sz w:val="24"/>
        </w:rPr>
        <w:t xml:space="preserve">in </w:t>
      </w:r>
      <w:r w:rsidRPr="00A851CB">
        <w:rPr>
          <w:kern w:val="0"/>
          <w:sz w:val="24"/>
        </w:rPr>
        <w:t>l</w:t>
      </w:r>
      <w:r>
        <w:rPr>
          <w:kern w:val="0"/>
          <w:sz w:val="24"/>
        </w:rPr>
        <w:t>ength</w:t>
      </w:r>
      <w:r w:rsidRPr="00A851CB">
        <w:rPr>
          <w:kern w:val="0"/>
          <w:sz w:val="24"/>
        </w:rPr>
        <w:t xml:space="preserve"> (</w:t>
      </w:r>
      <w:r w:rsidRPr="00A851CB">
        <w:rPr>
          <w:sz w:val="24"/>
        </w:rPr>
        <w:t>Ben-</w:t>
      </w:r>
      <w:proofErr w:type="spellStart"/>
      <w:r w:rsidRPr="00A851CB">
        <w:rPr>
          <w:sz w:val="24"/>
        </w:rPr>
        <w:t>Dov</w:t>
      </w:r>
      <w:proofErr w:type="spellEnd"/>
      <w:r w:rsidRPr="00A851CB">
        <w:rPr>
          <w:sz w:val="24"/>
        </w:rPr>
        <w:t xml:space="preserve"> and Hodgson</w:t>
      </w:r>
      <w:r>
        <w:rPr>
          <w:sz w:val="24"/>
        </w:rPr>
        <w:t xml:space="preserve"> 1997</w:t>
      </w:r>
      <w:r w:rsidRPr="00A851CB">
        <w:rPr>
          <w:kern w:val="0"/>
          <w:sz w:val="24"/>
        </w:rPr>
        <w:t>), providing enough space and nutrition for its parasitoids</w:t>
      </w:r>
      <w:r>
        <w:rPr>
          <w:kern w:val="0"/>
          <w:sz w:val="24"/>
        </w:rPr>
        <w:t>,</w:t>
      </w:r>
      <w:r w:rsidRPr="00A851CB">
        <w:rPr>
          <w:kern w:val="0"/>
          <w:sz w:val="24"/>
        </w:rPr>
        <w:t xml:space="preserve"> </w:t>
      </w:r>
      <w:proofErr w:type="spellStart"/>
      <w:r w:rsidRPr="00A851CB">
        <w:rPr>
          <w:i/>
          <w:kern w:val="0"/>
          <w:sz w:val="24"/>
        </w:rPr>
        <w:t>Beijinga</w:t>
      </w:r>
      <w:proofErr w:type="spellEnd"/>
      <w:r w:rsidRPr="00A851CB">
        <w:rPr>
          <w:i/>
          <w:kern w:val="0"/>
          <w:sz w:val="24"/>
        </w:rPr>
        <w:t xml:space="preserve"> </w:t>
      </w:r>
      <w:proofErr w:type="spellStart"/>
      <w:r w:rsidRPr="00A851CB">
        <w:rPr>
          <w:i/>
          <w:kern w:val="0"/>
          <w:sz w:val="24"/>
        </w:rPr>
        <w:t>utila</w:t>
      </w:r>
      <w:proofErr w:type="spellEnd"/>
      <w:r w:rsidRPr="00A851CB">
        <w:rPr>
          <w:kern w:val="0"/>
          <w:sz w:val="24"/>
        </w:rPr>
        <w:t xml:space="preserve"> </w:t>
      </w:r>
      <w:r w:rsidR="00B472FD">
        <w:rPr>
          <w:kern w:val="0"/>
          <w:sz w:val="24"/>
        </w:rPr>
        <w:t>Yang (</w:t>
      </w:r>
      <w:r w:rsidR="00B472FD" w:rsidRPr="00B472FD">
        <w:rPr>
          <w:kern w:val="0"/>
          <w:sz w:val="24"/>
        </w:rPr>
        <w:t xml:space="preserve">Lepidoptera: </w:t>
      </w:r>
      <w:proofErr w:type="spellStart"/>
      <w:r w:rsidR="00B472FD" w:rsidRPr="00B472FD">
        <w:rPr>
          <w:kern w:val="0"/>
          <w:sz w:val="24"/>
        </w:rPr>
        <w:t>Heliodinidae</w:t>
      </w:r>
      <w:proofErr w:type="spellEnd"/>
      <w:r w:rsidR="00B472FD">
        <w:rPr>
          <w:kern w:val="0"/>
          <w:sz w:val="24"/>
        </w:rPr>
        <w:t xml:space="preserve">) </w:t>
      </w:r>
      <w:r w:rsidRPr="00A851CB">
        <w:rPr>
          <w:kern w:val="0"/>
          <w:sz w:val="24"/>
        </w:rPr>
        <w:t xml:space="preserve">and </w:t>
      </w:r>
      <w:proofErr w:type="spellStart"/>
      <w:r w:rsidRPr="00A851CB">
        <w:rPr>
          <w:i/>
          <w:kern w:val="0"/>
          <w:sz w:val="24"/>
        </w:rPr>
        <w:t>Blastothrix</w:t>
      </w:r>
      <w:proofErr w:type="spellEnd"/>
      <w:r w:rsidRPr="00A851CB">
        <w:rPr>
          <w:i/>
          <w:kern w:val="0"/>
          <w:sz w:val="24"/>
        </w:rPr>
        <w:t xml:space="preserve"> </w:t>
      </w:r>
      <w:proofErr w:type="spellStart"/>
      <w:r w:rsidRPr="00A851CB">
        <w:rPr>
          <w:i/>
          <w:kern w:val="0"/>
          <w:sz w:val="24"/>
        </w:rPr>
        <w:t>sericae</w:t>
      </w:r>
      <w:proofErr w:type="spellEnd"/>
      <w:r w:rsidR="0047606C" w:rsidRPr="0047606C">
        <w:rPr>
          <w:kern w:val="0"/>
          <w:sz w:val="24"/>
        </w:rPr>
        <w:t xml:space="preserve"> </w:t>
      </w:r>
      <w:r w:rsidR="008F6446">
        <w:rPr>
          <w:kern w:val="0"/>
          <w:sz w:val="24"/>
        </w:rPr>
        <w:t>(</w:t>
      </w:r>
      <w:r w:rsidR="0047606C" w:rsidRPr="0047606C">
        <w:rPr>
          <w:kern w:val="0"/>
          <w:sz w:val="24"/>
        </w:rPr>
        <w:t>Dalman</w:t>
      </w:r>
      <w:r w:rsidR="008F6446">
        <w:rPr>
          <w:kern w:val="0"/>
          <w:sz w:val="24"/>
        </w:rPr>
        <w:t>)</w:t>
      </w:r>
      <w:r w:rsidR="0047606C" w:rsidRPr="0047606C">
        <w:rPr>
          <w:kern w:val="0"/>
          <w:sz w:val="24"/>
        </w:rPr>
        <w:t xml:space="preserve"> </w:t>
      </w:r>
      <w:r w:rsidR="0047606C">
        <w:rPr>
          <w:kern w:val="0"/>
          <w:sz w:val="24"/>
        </w:rPr>
        <w:t>(</w:t>
      </w:r>
      <w:r w:rsidR="0047606C" w:rsidRPr="0047606C">
        <w:rPr>
          <w:kern w:val="0"/>
          <w:sz w:val="24"/>
        </w:rPr>
        <w:t>Hymenoptera</w:t>
      </w:r>
      <w:r w:rsidR="0047606C" w:rsidRPr="00B472FD">
        <w:rPr>
          <w:kern w:val="0"/>
          <w:sz w:val="24"/>
        </w:rPr>
        <w:t xml:space="preserve">: </w:t>
      </w:r>
      <w:proofErr w:type="spellStart"/>
      <w:r w:rsidR="0047606C" w:rsidRPr="0047606C">
        <w:rPr>
          <w:kern w:val="0"/>
          <w:sz w:val="24"/>
        </w:rPr>
        <w:t>Encyrtidae</w:t>
      </w:r>
      <w:proofErr w:type="spellEnd"/>
      <w:r w:rsidR="0047606C">
        <w:rPr>
          <w:kern w:val="0"/>
          <w:sz w:val="24"/>
        </w:rPr>
        <w:t>)</w:t>
      </w:r>
      <w:r>
        <w:rPr>
          <w:i/>
          <w:kern w:val="0"/>
          <w:sz w:val="24"/>
        </w:rPr>
        <w:t xml:space="preserve">. </w:t>
      </w:r>
      <w:proofErr w:type="spellStart"/>
      <w:r w:rsidR="008E3A87" w:rsidRPr="00A851CB">
        <w:rPr>
          <w:i/>
          <w:kern w:val="0"/>
          <w:sz w:val="24"/>
        </w:rPr>
        <w:t>Beijinga</w:t>
      </w:r>
      <w:proofErr w:type="spellEnd"/>
      <w:r w:rsidRPr="00A851CB">
        <w:rPr>
          <w:i/>
          <w:kern w:val="0"/>
          <w:sz w:val="24"/>
        </w:rPr>
        <w:t xml:space="preserve"> </w:t>
      </w:r>
      <w:proofErr w:type="spellStart"/>
      <w:r w:rsidRPr="00A851CB">
        <w:rPr>
          <w:i/>
          <w:kern w:val="0"/>
          <w:sz w:val="24"/>
        </w:rPr>
        <w:t>utila</w:t>
      </w:r>
      <w:proofErr w:type="spellEnd"/>
      <w:r w:rsidRPr="00A851CB">
        <w:rPr>
          <w:kern w:val="0"/>
          <w:sz w:val="24"/>
        </w:rPr>
        <w:t xml:space="preserve"> and </w:t>
      </w:r>
      <w:proofErr w:type="spellStart"/>
      <w:r w:rsidR="008E3A87" w:rsidRPr="00A851CB">
        <w:rPr>
          <w:i/>
          <w:kern w:val="0"/>
          <w:sz w:val="24"/>
        </w:rPr>
        <w:t>Blastothrix</w:t>
      </w:r>
      <w:proofErr w:type="spellEnd"/>
      <w:r w:rsidRPr="00A851CB">
        <w:rPr>
          <w:i/>
          <w:kern w:val="0"/>
          <w:sz w:val="24"/>
        </w:rPr>
        <w:t xml:space="preserve"> </w:t>
      </w:r>
      <w:proofErr w:type="spellStart"/>
      <w:r w:rsidRPr="00A851CB">
        <w:rPr>
          <w:i/>
          <w:kern w:val="0"/>
          <w:sz w:val="24"/>
        </w:rPr>
        <w:t>sericae</w:t>
      </w:r>
      <w:proofErr w:type="spellEnd"/>
      <w:r w:rsidRPr="00A851CB">
        <w:rPr>
          <w:kern w:val="0"/>
          <w:sz w:val="24"/>
        </w:rPr>
        <w:t xml:space="preserve"> </w:t>
      </w:r>
      <w:r>
        <w:rPr>
          <w:kern w:val="0"/>
          <w:sz w:val="24"/>
        </w:rPr>
        <w:t>are</w:t>
      </w:r>
      <w:r w:rsidRPr="00A851CB">
        <w:rPr>
          <w:kern w:val="0"/>
          <w:sz w:val="24"/>
        </w:rPr>
        <w:t xml:space="preserve"> important parasitoids of </w:t>
      </w:r>
      <w:r w:rsidRPr="00A851CB">
        <w:rPr>
          <w:i/>
          <w:kern w:val="0"/>
          <w:sz w:val="24"/>
        </w:rPr>
        <w:t xml:space="preserve">E. </w:t>
      </w:r>
      <w:proofErr w:type="spellStart"/>
      <w:r w:rsidRPr="00A851CB">
        <w:rPr>
          <w:i/>
          <w:kern w:val="0"/>
          <w:sz w:val="24"/>
        </w:rPr>
        <w:t>giganteum</w:t>
      </w:r>
      <w:proofErr w:type="spellEnd"/>
      <w:r w:rsidRPr="00A851CB">
        <w:rPr>
          <w:kern w:val="0"/>
          <w:sz w:val="24"/>
        </w:rPr>
        <w:t xml:space="preserve"> with high parasitism rates (mean</w:t>
      </w:r>
      <w:r>
        <w:rPr>
          <w:kern w:val="0"/>
          <w:sz w:val="24"/>
        </w:rPr>
        <w:t>s of</w:t>
      </w:r>
      <w:r w:rsidRPr="00A851CB">
        <w:rPr>
          <w:kern w:val="0"/>
          <w:sz w:val="24"/>
        </w:rPr>
        <w:t xml:space="preserve"> 37.8% and 39.8%</w:t>
      </w:r>
      <w:r>
        <w:rPr>
          <w:kern w:val="0"/>
          <w:sz w:val="24"/>
        </w:rPr>
        <w:t>, respectively</w:t>
      </w:r>
      <w:r w:rsidRPr="00A851CB">
        <w:rPr>
          <w:kern w:val="0"/>
          <w:sz w:val="24"/>
        </w:rPr>
        <w:t xml:space="preserve">) (Shen and </w:t>
      </w:r>
      <w:proofErr w:type="spellStart"/>
      <w:r w:rsidRPr="00A851CB">
        <w:rPr>
          <w:kern w:val="0"/>
          <w:sz w:val="24"/>
        </w:rPr>
        <w:t>Xie</w:t>
      </w:r>
      <w:proofErr w:type="spellEnd"/>
      <w:r w:rsidRPr="00A851CB">
        <w:rPr>
          <w:kern w:val="0"/>
          <w:sz w:val="24"/>
        </w:rPr>
        <w:t xml:space="preserve"> 1990</w:t>
      </w:r>
      <w:r w:rsidR="008E3A87">
        <w:rPr>
          <w:kern w:val="0"/>
          <w:sz w:val="24"/>
        </w:rPr>
        <w:t>;</w:t>
      </w:r>
      <w:r w:rsidR="008E3A87" w:rsidRPr="00A851CB">
        <w:rPr>
          <w:kern w:val="0"/>
          <w:sz w:val="24"/>
        </w:rPr>
        <w:t xml:space="preserve"> </w:t>
      </w:r>
      <w:r w:rsidRPr="00A851CB">
        <w:rPr>
          <w:kern w:val="0"/>
          <w:sz w:val="24"/>
        </w:rPr>
        <w:t>Liu and Liu 2005).</w:t>
      </w:r>
      <w:r>
        <w:rPr>
          <w:kern w:val="0"/>
          <w:sz w:val="24"/>
        </w:rPr>
        <w:t xml:space="preserve"> </w:t>
      </w:r>
      <w:r w:rsidRPr="00A851CB">
        <w:rPr>
          <w:sz w:val="24"/>
        </w:rPr>
        <w:t xml:space="preserve">Before DNA extraction, all individuals were examined </w:t>
      </w:r>
      <w:r>
        <w:rPr>
          <w:sz w:val="24"/>
        </w:rPr>
        <w:t xml:space="preserve">for the presence of </w:t>
      </w:r>
      <w:proofErr w:type="spellStart"/>
      <w:r>
        <w:rPr>
          <w:sz w:val="24"/>
        </w:rPr>
        <w:t>endo</w:t>
      </w:r>
      <w:r w:rsidRPr="00A851CB">
        <w:rPr>
          <w:sz w:val="24"/>
        </w:rPr>
        <w:t>parasites</w:t>
      </w:r>
      <w:proofErr w:type="spellEnd"/>
      <w:r>
        <w:rPr>
          <w:sz w:val="24"/>
        </w:rPr>
        <w:t>, which</w:t>
      </w:r>
      <w:r w:rsidRPr="00853B1C">
        <w:rPr>
          <w:sz w:val="24"/>
        </w:rPr>
        <w:t xml:space="preserve"> were removed when </w:t>
      </w:r>
      <w:r>
        <w:rPr>
          <w:sz w:val="24"/>
        </w:rPr>
        <w:t>detected</w:t>
      </w:r>
      <w:r w:rsidRPr="00A851CB">
        <w:rPr>
          <w:sz w:val="24"/>
        </w:rPr>
        <w:t xml:space="preserve">. </w:t>
      </w:r>
      <w:bookmarkStart w:id="2" w:name="OLE_LINK108"/>
      <w:bookmarkStart w:id="3" w:name="OLE_LINK109"/>
      <w:r w:rsidRPr="00A851CB">
        <w:rPr>
          <w:sz w:val="24"/>
        </w:rPr>
        <w:t xml:space="preserve">Genomic DNA </w:t>
      </w:r>
      <w:bookmarkEnd w:id="2"/>
      <w:bookmarkEnd w:id="3"/>
      <w:r w:rsidRPr="00A851CB">
        <w:rPr>
          <w:sz w:val="24"/>
        </w:rPr>
        <w:t>was extr</w:t>
      </w:r>
      <w:r>
        <w:rPr>
          <w:sz w:val="24"/>
        </w:rPr>
        <w:t>acted directly</w:t>
      </w:r>
      <w:r w:rsidRPr="00E177FC">
        <w:rPr>
          <w:sz w:val="24"/>
        </w:rPr>
        <w:t xml:space="preserve"> </w:t>
      </w:r>
      <w:r>
        <w:rPr>
          <w:sz w:val="24"/>
        </w:rPr>
        <w:t xml:space="preserve">from </w:t>
      </w:r>
      <w:r w:rsidRPr="00A851CB">
        <w:rPr>
          <w:sz w:val="24"/>
        </w:rPr>
        <w:t>nymph individuals</w:t>
      </w:r>
      <w:r>
        <w:rPr>
          <w:sz w:val="24"/>
        </w:rPr>
        <w:t>. For adult females</w:t>
      </w:r>
      <w:r w:rsidRPr="00A851CB">
        <w:rPr>
          <w:sz w:val="24"/>
        </w:rPr>
        <w:t xml:space="preserve">, genomic DNA was extracted from a single </w:t>
      </w:r>
      <w:bookmarkStart w:id="4" w:name="OLE_LINK104"/>
      <w:bookmarkStart w:id="5" w:name="OLE_LINK107"/>
      <w:r w:rsidRPr="00A851CB">
        <w:rPr>
          <w:sz w:val="24"/>
        </w:rPr>
        <w:t>egg</w:t>
      </w:r>
      <w:bookmarkEnd w:id="4"/>
      <w:bookmarkEnd w:id="5"/>
      <w:r w:rsidRPr="00A851CB">
        <w:rPr>
          <w:sz w:val="24"/>
        </w:rPr>
        <w:t xml:space="preserve"> </w:t>
      </w:r>
      <w:bookmarkStart w:id="6" w:name="OLE_LINK52"/>
      <w:bookmarkStart w:id="7" w:name="OLE_LINK56"/>
      <w:r w:rsidRPr="00A851CB">
        <w:rPr>
          <w:sz w:val="24"/>
        </w:rPr>
        <w:t xml:space="preserve">or part of </w:t>
      </w:r>
      <w:bookmarkStart w:id="8" w:name="OLE_LINK96"/>
      <w:bookmarkStart w:id="9" w:name="OLE_LINK103"/>
      <w:r>
        <w:rPr>
          <w:sz w:val="24"/>
        </w:rPr>
        <w:t xml:space="preserve">the </w:t>
      </w:r>
      <w:proofErr w:type="spellStart"/>
      <w:r w:rsidRPr="00A851CB">
        <w:rPr>
          <w:sz w:val="24"/>
        </w:rPr>
        <w:t>derm</w:t>
      </w:r>
      <w:bookmarkEnd w:id="6"/>
      <w:bookmarkEnd w:id="7"/>
      <w:bookmarkEnd w:id="8"/>
      <w:bookmarkEnd w:id="9"/>
      <w:proofErr w:type="spellEnd"/>
      <w:r w:rsidRPr="00A851CB">
        <w:rPr>
          <w:sz w:val="24"/>
        </w:rPr>
        <w:t>. Total genomic DNA was isolated using the</w:t>
      </w:r>
      <w:r w:rsidRPr="00A851CB">
        <w:rPr>
          <w:color w:val="000000"/>
          <w:kern w:val="0"/>
          <w:sz w:val="24"/>
        </w:rPr>
        <w:t xml:space="preserve"> </w:t>
      </w:r>
      <w:proofErr w:type="spellStart"/>
      <w:r w:rsidRPr="00A851CB">
        <w:rPr>
          <w:color w:val="000000"/>
          <w:kern w:val="0"/>
          <w:sz w:val="24"/>
        </w:rPr>
        <w:t>DNe</w:t>
      </w:r>
      <w:r>
        <w:rPr>
          <w:color w:val="000000"/>
          <w:kern w:val="0"/>
          <w:sz w:val="24"/>
        </w:rPr>
        <w:t>asy</w:t>
      </w:r>
      <w:proofErr w:type="spellEnd"/>
      <w:r>
        <w:rPr>
          <w:color w:val="000000"/>
          <w:kern w:val="0"/>
          <w:sz w:val="24"/>
        </w:rPr>
        <w:t xml:space="preserve"> Blood </w:t>
      </w:r>
      <w:r w:rsidR="00BC6CB6">
        <w:rPr>
          <w:color w:val="000000"/>
          <w:kern w:val="0"/>
          <w:sz w:val="24"/>
        </w:rPr>
        <w:t xml:space="preserve">and </w:t>
      </w:r>
      <w:r>
        <w:rPr>
          <w:color w:val="000000"/>
          <w:kern w:val="0"/>
          <w:sz w:val="24"/>
        </w:rPr>
        <w:t>Tissue Kit (</w:t>
      </w:r>
      <w:proofErr w:type="spellStart"/>
      <w:r>
        <w:rPr>
          <w:color w:val="000000"/>
          <w:kern w:val="0"/>
          <w:sz w:val="24"/>
        </w:rPr>
        <w:t>Qiagen</w:t>
      </w:r>
      <w:proofErr w:type="spellEnd"/>
      <w:r w:rsidR="00646712">
        <w:rPr>
          <w:color w:val="000000"/>
          <w:kern w:val="0"/>
          <w:sz w:val="24"/>
        </w:rPr>
        <w:t xml:space="preserve"> </w:t>
      </w:r>
      <w:r w:rsidR="00646712" w:rsidRPr="00646712">
        <w:rPr>
          <w:color w:val="000000"/>
          <w:kern w:val="0"/>
          <w:sz w:val="24"/>
        </w:rPr>
        <w:t>GmbH, Hilden, Germany</w:t>
      </w:r>
      <w:r>
        <w:rPr>
          <w:color w:val="000000"/>
          <w:kern w:val="0"/>
          <w:sz w:val="24"/>
        </w:rPr>
        <w:t>)</w:t>
      </w:r>
      <w:r w:rsidRPr="00A851CB">
        <w:rPr>
          <w:color w:val="000000"/>
          <w:kern w:val="0"/>
          <w:sz w:val="24"/>
        </w:rPr>
        <w:t xml:space="preserve"> following the manufacturer’s instructions.</w:t>
      </w:r>
      <w:r w:rsidRPr="00A851CB">
        <w:rPr>
          <w:sz w:val="24"/>
        </w:rPr>
        <w:t xml:space="preserve"> After DNA extraction, some young adult females </w:t>
      </w:r>
      <w:r>
        <w:rPr>
          <w:sz w:val="24"/>
        </w:rPr>
        <w:t>were</w:t>
      </w:r>
      <w:r w:rsidRPr="00A851CB">
        <w:rPr>
          <w:sz w:val="24"/>
        </w:rPr>
        <w:t xml:space="preserve"> slide</w:t>
      </w:r>
      <w:r>
        <w:rPr>
          <w:sz w:val="24"/>
        </w:rPr>
        <w:t xml:space="preserve"> </w:t>
      </w:r>
      <w:r w:rsidRPr="00A851CB">
        <w:rPr>
          <w:sz w:val="24"/>
        </w:rPr>
        <w:t xml:space="preserve">mounted </w:t>
      </w:r>
      <w:r>
        <w:rPr>
          <w:sz w:val="24"/>
        </w:rPr>
        <w:t xml:space="preserve">and </w:t>
      </w:r>
      <w:r w:rsidRPr="00A851CB">
        <w:rPr>
          <w:sz w:val="24"/>
        </w:rPr>
        <w:t xml:space="preserve">identified according to their morphological </w:t>
      </w:r>
      <w:r>
        <w:rPr>
          <w:sz w:val="24"/>
        </w:rPr>
        <w:t>characteristics</w:t>
      </w:r>
      <w:r w:rsidRPr="00A851CB">
        <w:rPr>
          <w:sz w:val="24"/>
        </w:rPr>
        <w:t xml:space="preserve"> and</w:t>
      </w:r>
      <w:r>
        <w:rPr>
          <w:sz w:val="24"/>
        </w:rPr>
        <w:t xml:space="preserve"> </w:t>
      </w:r>
      <w:r>
        <w:rPr>
          <w:kern w:val="0"/>
          <w:sz w:val="24"/>
        </w:rPr>
        <w:t xml:space="preserve">taxonomic keys (Tang 1991; </w:t>
      </w:r>
      <w:proofErr w:type="spellStart"/>
      <w:r>
        <w:rPr>
          <w:kern w:val="0"/>
          <w:sz w:val="24"/>
        </w:rPr>
        <w:t>Xie</w:t>
      </w:r>
      <w:proofErr w:type="spellEnd"/>
      <w:r w:rsidRPr="00A851CB">
        <w:rPr>
          <w:kern w:val="0"/>
          <w:sz w:val="24"/>
        </w:rPr>
        <w:t xml:space="preserve"> 1998; </w:t>
      </w:r>
      <w:r>
        <w:rPr>
          <w:sz w:val="24"/>
        </w:rPr>
        <w:t>Wang</w:t>
      </w:r>
      <w:r w:rsidRPr="00A851CB">
        <w:rPr>
          <w:sz w:val="24"/>
        </w:rPr>
        <w:t xml:space="preserve"> 2001</w:t>
      </w:r>
      <w:r w:rsidRPr="00A851CB">
        <w:rPr>
          <w:kern w:val="0"/>
          <w:sz w:val="24"/>
        </w:rPr>
        <w:t>)</w:t>
      </w:r>
      <w:r w:rsidRPr="00A851CB">
        <w:rPr>
          <w:sz w:val="24"/>
        </w:rPr>
        <w:t>.</w:t>
      </w:r>
    </w:p>
    <w:p w14:paraId="53FBE01F" w14:textId="545CFEEF" w:rsidR="00421D6B" w:rsidRDefault="00421D6B" w:rsidP="00131F13">
      <w:pPr>
        <w:autoSpaceDE w:val="0"/>
        <w:autoSpaceDN w:val="0"/>
        <w:adjustRightInd w:val="0"/>
        <w:spacing w:line="480" w:lineRule="auto"/>
        <w:ind w:firstLine="420"/>
        <w:rPr>
          <w:color w:val="000000"/>
          <w:kern w:val="0"/>
          <w:sz w:val="24"/>
        </w:rPr>
      </w:pPr>
      <w:r w:rsidRPr="00A851CB">
        <w:rPr>
          <w:color w:val="000000"/>
          <w:kern w:val="0"/>
          <w:sz w:val="24"/>
        </w:rPr>
        <w:t xml:space="preserve">The barcode region of </w:t>
      </w:r>
      <w:r>
        <w:rPr>
          <w:color w:val="000000"/>
          <w:kern w:val="0"/>
          <w:sz w:val="24"/>
        </w:rPr>
        <w:t xml:space="preserve">COI </w:t>
      </w:r>
      <w:r w:rsidRPr="00A851CB">
        <w:rPr>
          <w:color w:val="000000"/>
          <w:kern w:val="0"/>
          <w:sz w:val="24"/>
        </w:rPr>
        <w:t>and</w:t>
      </w:r>
      <w:bookmarkStart w:id="10" w:name="OLE_LINK28"/>
      <w:bookmarkStart w:id="11" w:name="OLE_LINK29"/>
      <w:r w:rsidRPr="00A851CB">
        <w:rPr>
          <w:color w:val="000000"/>
          <w:kern w:val="0"/>
          <w:sz w:val="24"/>
        </w:rPr>
        <w:t xml:space="preserve"> </w:t>
      </w:r>
      <w:bookmarkStart w:id="12" w:name="OLE_LINK27"/>
      <w:bookmarkStart w:id="13" w:name="OLE_LINK25"/>
      <w:r w:rsidRPr="00A851CB">
        <w:rPr>
          <w:color w:val="000000"/>
          <w:kern w:val="0"/>
          <w:sz w:val="24"/>
        </w:rPr>
        <w:t xml:space="preserve">the D2-D3 expansion segments of the </w:t>
      </w:r>
      <w:bookmarkEnd w:id="10"/>
      <w:bookmarkEnd w:id="11"/>
      <w:bookmarkEnd w:id="12"/>
      <w:bookmarkEnd w:id="13"/>
      <w:r w:rsidRPr="00A851CB">
        <w:rPr>
          <w:color w:val="000000"/>
          <w:kern w:val="0"/>
          <w:sz w:val="24"/>
        </w:rPr>
        <w:t>28S ribosomal gene were amplified in this study. For</w:t>
      </w:r>
      <w:r>
        <w:rPr>
          <w:color w:val="000000"/>
          <w:kern w:val="0"/>
          <w:sz w:val="24"/>
        </w:rPr>
        <w:t xml:space="preserve"> the</w:t>
      </w:r>
      <w:r w:rsidRPr="00A851CB">
        <w:rPr>
          <w:color w:val="000000"/>
          <w:kern w:val="0"/>
          <w:sz w:val="24"/>
        </w:rPr>
        <w:t xml:space="preserve"> COI gene, we used primers C1-1554F and C1-2342R (Deng </w:t>
      </w:r>
      <w:r w:rsidRPr="00A851CB">
        <w:rPr>
          <w:i/>
          <w:color w:val="000000"/>
          <w:kern w:val="0"/>
          <w:sz w:val="24"/>
        </w:rPr>
        <w:t>et al.</w:t>
      </w:r>
      <w:r>
        <w:rPr>
          <w:color w:val="000000"/>
          <w:kern w:val="0"/>
          <w:sz w:val="24"/>
        </w:rPr>
        <w:t xml:space="preserve"> 2012) because of their good </w:t>
      </w:r>
      <w:r w:rsidRPr="00A851CB">
        <w:rPr>
          <w:color w:val="000000"/>
          <w:kern w:val="0"/>
          <w:sz w:val="24"/>
        </w:rPr>
        <w:t xml:space="preserve">performance </w:t>
      </w:r>
      <w:r>
        <w:rPr>
          <w:color w:val="000000"/>
          <w:kern w:val="0"/>
          <w:sz w:val="24"/>
        </w:rPr>
        <w:t>with</w:t>
      </w:r>
      <w:r w:rsidRPr="00A851CB">
        <w:rPr>
          <w:color w:val="000000"/>
          <w:kern w:val="0"/>
          <w:sz w:val="24"/>
        </w:rPr>
        <w:t xml:space="preserve"> </w:t>
      </w:r>
      <w:proofErr w:type="spellStart"/>
      <w:r w:rsidRPr="00A851CB">
        <w:rPr>
          <w:color w:val="000000"/>
          <w:kern w:val="0"/>
          <w:sz w:val="24"/>
        </w:rPr>
        <w:t>Coccidae</w:t>
      </w:r>
      <w:proofErr w:type="spellEnd"/>
      <w:r>
        <w:rPr>
          <w:color w:val="000000"/>
          <w:kern w:val="0"/>
          <w:sz w:val="24"/>
        </w:rPr>
        <w:t xml:space="preserve"> DNA; </w:t>
      </w:r>
      <w:r w:rsidRPr="00A851CB">
        <w:rPr>
          <w:color w:val="000000"/>
          <w:kern w:val="0"/>
          <w:sz w:val="24"/>
        </w:rPr>
        <w:t xml:space="preserve">the PCR reaction volume and program </w:t>
      </w:r>
      <w:r>
        <w:rPr>
          <w:color w:val="000000"/>
          <w:kern w:val="0"/>
          <w:sz w:val="24"/>
        </w:rPr>
        <w:t xml:space="preserve">were according to </w:t>
      </w:r>
      <w:r w:rsidRPr="00A851CB">
        <w:rPr>
          <w:color w:val="000000"/>
          <w:kern w:val="0"/>
          <w:sz w:val="24"/>
        </w:rPr>
        <w:t xml:space="preserve">Deng </w:t>
      </w:r>
      <w:r w:rsidRPr="00A851CB">
        <w:rPr>
          <w:i/>
          <w:color w:val="000000"/>
          <w:kern w:val="0"/>
          <w:sz w:val="24"/>
        </w:rPr>
        <w:t>et al.</w:t>
      </w:r>
      <w:r w:rsidRPr="00A851CB">
        <w:rPr>
          <w:color w:val="000000"/>
          <w:kern w:val="0"/>
          <w:sz w:val="24"/>
        </w:rPr>
        <w:t xml:space="preserve"> (2012).</w:t>
      </w:r>
      <w:r w:rsidRPr="00A851CB">
        <w:rPr>
          <w:sz w:val="24"/>
        </w:rPr>
        <w:t xml:space="preserve"> </w:t>
      </w:r>
      <w:r w:rsidRPr="00A851CB">
        <w:rPr>
          <w:color w:val="000000"/>
          <w:kern w:val="0"/>
          <w:sz w:val="24"/>
        </w:rPr>
        <w:t xml:space="preserve">When amplifying </w:t>
      </w:r>
      <w:r>
        <w:rPr>
          <w:color w:val="000000"/>
          <w:kern w:val="0"/>
          <w:sz w:val="24"/>
        </w:rPr>
        <w:t xml:space="preserve">the </w:t>
      </w:r>
      <w:r w:rsidRPr="00A851CB">
        <w:rPr>
          <w:color w:val="000000"/>
          <w:kern w:val="0"/>
          <w:sz w:val="24"/>
        </w:rPr>
        <w:t xml:space="preserve">28S ribosomal gene, we used </w:t>
      </w:r>
      <w:r>
        <w:rPr>
          <w:color w:val="000000"/>
          <w:kern w:val="0"/>
          <w:sz w:val="24"/>
        </w:rPr>
        <w:t xml:space="preserve">the primers </w:t>
      </w:r>
      <w:r w:rsidRPr="00A851CB">
        <w:rPr>
          <w:color w:val="000000"/>
          <w:kern w:val="0"/>
          <w:sz w:val="24"/>
        </w:rPr>
        <w:t xml:space="preserve">28sF3633 </w:t>
      </w:r>
      <w:r w:rsidR="001A7568">
        <w:rPr>
          <w:color w:val="000000"/>
          <w:kern w:val="0"/>
          <w:sz w:val="24"/>
        </w:rPr>
        <w:t>(</w:t>
      </w:r>
      <w:r w:rsidR="001A7568" w:rsidRPr="001A7568">
        <w:rPr>
          <w:color w:val="000000"/>
          <w:kern w:val="0"/>
          <w:sz w:val="24"/>
        </w:rPr>
        <w:t>5'-TACCGTGAGGGAAAGTTGAAA-3'</w:t>
      </w:r>
      <w:bookmarkStart w:id="14" w:name="_GoBack"/>
      <w:bookmarkEnd w:id="14"/>
      <w:r w:rsidR="001A7568">
        <w:rPr>
          <w:color w:val="000000"/>
          <w:kern w:val="0"/>
          <w:sz w:val="24"/>
        </w:rPr>
        <w:t>)</w:t>
      </w:r>
      <w:r w:rsidR="001A7568" w:rsidRPr="001A7568">
        <w:rPr>
          <w:color w:val="000000"/>
          <w:kern w:val="0"/>
          <w:sz w:val="24"/>
        </w:rPr>
        <w:t xml:space="preserve"> </w:t>
      </w:r>
      <w:r w:rsidRPr="00A851CB">
        <w:rPr>
          <w:color w:val="000000"/>
          <w:kern w:val="0"/>
          <w:sz w:val="24"/>
        </w:rPr>
        <w:t>and 28b (</w:t>
      </w:r>
      <w:r w:rsidRPr="00A851CB">
        <w:rPr>
          <w:sz w:val="24"/>
        </w:rPr>
        <w:t>Whiting</w:t>
      </w:r>
      <w:r w:rsidRPr="00A851CB">
        <w:rPr>
          <w:color w:val="000000"/>
          <w:kern w:val="0"/>
          <w:sz w:val="24"/>
        </w:rPr>
        <w:t xml:space="preserve"> </w:t>
      </w:r>
      <w:r w:rsidRPr="00A851CB">
        <w:rPr>
          <w:i/>
          <w:color w:val="000000"/>
          <w:kern w:val="0"/>
          <w:sz w:val="24"/>
        </w:rPr>
        <w:t>et al</w:t>
      </w:r>
      <w:r>
        <w:rPr>
          <w:color w:val="000000"/>
          <w:kern w:val="0"/>
          <w:sz w:val="24"/>
        </w:rPr>
        <w:t>.</w:t>
      </w:r>
      <w:r w:rsidRPr="00A851CB">
        <w:rPr>
          <w:color w:val="000000"/>
          <w:kern w:val="0"/>
          <w:sz w:val="24"/>
        </w:rPr>
        <w:t xml:space="preserve"> 1997).</w:t>
      </w:r>
      <w:r>
        <w:rPr>
          <w:kern w:val="0"/>
          <w:sz w:val="24"/>
        </w:rPr>
        <w:t xml:space="preserve"> </w:t>
      </w:r>
      <w:r w:rsidR="00284445">
        <w:rPr>
          <w:kern w:val="0"/>
          <w:sz w:val="24"/>
        </w:rPr>
        <w:t>Polymerase chain reactions</w:t>
      </w:r>
      <w:r w:rsidR="00284445" w:rsidRPr="00A851CB">
        <w:rPr>
          <w:kern w:val="0"/>
          <w:sz w:val="24"/>
        </w:rPr>
        <w:t xml:space="preserve"> </w:t>
      </w:r>
      <w:r w:rsidRPr="00A851CB">
        <w:rPr>
          <w:kern w:val="0"/>
          <w:sz w:val="24"/>
        </w:rPr>
        <w:t>were performed</w:t>
      </w:r>
      <w:r>
        <w:rPr>
          <w:kern w:val="0"/>
          <w:sz w:val="24"/>
        </w:rPr>
        <w:t xml:space="preserve"> </w:t>
      </w:r>
      <w:r w:rsidRPr="00A851CB">
        <w:rPr>
          <w:kern w:val="0"/>
          <w:sz w:val="24"/>
        </w:rPr>
        <w:t xml:space="preserve">using </w:t>
      </w:r>
      <w:proofErr w:type="spellStart"/>
      <w:r w:rsidRPr="00A851CB">
        <w:rPr>
          <w:color w:val="000000"/>
          <w:kern w:val="0"/>
          <w:sz w:val="24"/>
        </w:rPr>
        <w:t>MightyAmp</w:t>
      </w:r>
      <w:proofErr w:type="spellEnd"/>
      <w:r w:rsidRPr="00A851CB">
        <w:rPr>
          <w:color w:val="000000"/>
          <w:kern w:val="0"/>
          <w:sz w:val="24"/>
        </w:rPr>
        <w:t xml:space="preserve"> DNA </w:t>
      </w:r>
      <w:r w:rsidR="00284445">
        <w:rPr>
          <w:color w:val="000000"/>
          <w:kern w:val="0"/>
          <w:sz w:val="24"/>
        </w:rPr>
        <w:t>p</w:t>
      </w:r>
      <w:r w:rsidR="00284445" w:rsidRPr="00A851CB">
        <w:rPr>
          <w:color w:val="000000"/>
          <w:kern w:val="0"/>
          <w:sz w:val="24"/>
        </w:rPr>
        <w:t xml:space="preserve">olymerase </w:t>
      </w:r>
      <w:r w:rsidR="00284445">
        <w:rPr>
          <w:color w:val="000000"/>
          <w:kern w:val="0"/>
          <w:sz w:val="24"/>
        </w:rPr>
        <w:t>v</w:t>
      </w:r>
      <w:r w:rsidRPr="00A851CB">
        <w:rPr>
          <w:color w:val="000000"/>
          <w:kern w:val="0"/>
          <w:sz w:val="24"/>
        </w:rPr>
        <w:t>er</w:t>
      </w:r>
      <w:r w:rsidR="00284445">
        <w:rPr>
          <w:color w:val="000000"/>
          <w:kern w:val="0"/>
          <w:sz w:val="24"/>
        </w:rPr>
        <w:t xml:space="preserve">sion </w:t>
      </w:r>
      <w:r w:rsidRPr="00A851CB">
        <w:rPr>
          <w:color w:val="000000"/>
          <w:kern w:val="0"/>
          <w:sz w:val="24"/>
        </w:rPr>
        <w:t xml:space="preserve">2 </w:t>
      </w:r>
      <w:r w:rsidRPr="00A851CB">
        <w:rPr>
          <w:color w:val="000000"/>
          <w:kern w:val="0"/>
          <w:sz w:val="24"/>
        </w:rPr>
        <w:lastRenderedPageBreak/>
        <w:t>(</w:t>
      </w:r>
      <w:proofErr w:type="spellStart"/>
      <w:r w:rsidRPr="00A851CB">
        <w:rPr>
          <w:color w:val="000000"/>
          <w:kern w:val="0"/>
          <w:sz w:val="24"/>
        </w:rPr>
        <w:t>TaKaRa</w:t>
      </w:r>
      <w:proofErr w:type="spellEnd"/>
      <w:r w:rsidRPr="00A851CB">
        <w:rPr>
          <w:color w:val="000000"/>
          <w:kern w:val="0"/>
          <w:sz w:val="24"/>
        </w:rPr>
        <w:t>, Dalian, China).</w:t>
      </w:r>
      <w:r w:rsidRPr="00A851CB">
        <w:rPr>
          <w:kern w:val="0"/>
          <w:sz w:val="24"/>
        </w:rPr>
        <w:t xml:space="preserve"> The 50</w:t>
      </w:r>
      <w:r>
        <w:rPr>
          <w:kern w:val="0"/>
          <w:sz w:val="24"/>
        </w:rPr>
        <w:t>-</w:t>
      </w:r>
      <w:r w:rsidRPr="00A851CB">
        <w:rPr>
          <w:color w:val="000000"/>
          <w:kern w:val="0"/>
          <w:sz w:val="24"/>
        </w:rPr>
        <w:t>μL</w:t>
      </w:r>
      <w:r w:rsidRPr="00A851CB">
        <w:rPr>
          <w:kern w:val="0"/>
          <w:sz w:val="24"/>
        </w:rPr>
        <w:t xml:space="preserve"> reaction volume included </w:t>
      </w:r>
      <w:r w:rsidRPr="00A851CB">
        <w:rPr>
          <w:color w:val="000000"/>
          <w:kern w:val="0"/>
          <w:sz w:val="24"/>
        </w:rPr>
        <w:t>25</w:t>
      </w:r>
      <w:r>
        <w:rPr>
          <w:color w:val="000000"/>
          <w:kern w:val="0"/>
          <w:sz w:val="24"/>
        </w:rPr>
        <w:t xml:space="preserve"> </w:t>
      </w:r>
      <w:proofErr w:type="spellStart"/>
      <w:r w:rsidRPr="00A851CB">
        <w:rPr>
          <w:color w:val="000000"/>
          <w:kern w:val="0"/>
          <w:sz w:val="24"/>
        </w:rPr>
        <w:t>μL</w:t>
      </w:r>
      <w:proofErr w:type="spellEnd"/>
      <w:r w:rsidRPr="00A851CB">
        <w:rPr>
          <w:color w:val="000000"/>
          <w:kern w:val="0"/>
          <w:sz w:val="24"/>
        </w:rPr>
        <w:t xml:space="preserve"> 2× Buffer (Mg</w:t>
      </w:r>
      <w:r w:rsidRPr="007B180F">
        <w:rPr>
          <w:color w:val="000000"/>
          <w:kern w:val="0"/>
          <w:sz w:val="24"/>
          <w:vertAlign w:val="superscript"/>
        </w:rPr>
        <w:t>2+</w:t>
      </w:r>
      <w:r w:rsidRPr="00A851CB">
        <w:rPr>
          <w:color w:val="000000"/>
          <w:kern w:val="0"/>
          <w:sz w:val="24"/>
        </w:rPr>
        <w:t xml:space="preserve">, </w:t>
      </w:r>
      <w:proofErr w:type="spellStart"/>
      <w:r w:rsidRPr="00A851CB">
        <w:rPr>
          <w:color w:val="000000"/>
          <w:kern w:val="0"/>
          <w:sz w:val="24"/>
        </w:rPr>
        <w:t>dNTP</w:t>
      </w:r>
      <w:proofErr w:type="spellEnd"/>
      <w:r w:rsidRPr="00A851CB">
        <w:rPr>
          <w:color w:val="000000"/>
          <w:kern w:val="0"/>
          <w:sz w:val="24"/>
        </w:rPr>
        <w:t xml:space="preserve"> plus), 10 </w:t>
      </w:r>
      <w:proofErr w:type="spellStart"/>
      <w:r w:rsidRPr="00A851CB">
        <w:rPr>
          <w:color w:val="000000"/>
          <w:kern w:val="0"/>
          <w:sz w:val="24"/>
        </w:rPr>
        <w:t>pmol</w:t>
      </w:r>
      <w:proofErr w:type="spellEnd"/>
      <w:r w:rsidRPr="00A851CB">
        <w:rPr>
          <w:color w:val="000000"/>
          <w:kern w:val="0"/>
          <w:sz w:val="24"/>
        </w:rPr>
        <w:t xml:space="preserve"> of each primer, </w:t>
      </w:r>
      <w:r w:rsidRPr="00A851CB">
        <w:rPr>
          <w:kern w:val="0"/>
          <w:sz w:val="24"/>
        </w:rPr>
        <w:t>15</w:t>
      </w:r>
      <w:r>
        <w:rPr>
          <w:kern w:val="0"/>
          <w:sz w:val="24"/>
        </w:rPr>
        <w:t xml:space="preserve"> </w:t>
      </w:r>
      <w:proofErr w:type="spellStart"/>
      <w:r w:rsidRPr="00A851CB">
        <w:rPr>
          <w:color w:val="000000"/>
          <w:kern w:val="0"/>
          <w:sz w:val="24"/>
        </w:rPr>
        <w:t>μL</w:t>
      </w:r>
      <w:proofErr w:type="spellEnd"/>
      <w:r w:rsidRPr="00A851CB">
        <w:rPr>
          <w:color w:val="000000"/>
          <w:kern w:val="0"/>
          <w:sz w:val="24"/>
        </w:rPr>
        <w:t xml:space="preserve"> ddH</w:t>
      </w:r>
      <w:r w:rsidRPr="00E0247E">
        <w:rPr>
          <w:color w:val="000000"/>
          <w:kern w:val="0"/>
          <w:sz w:val="24"/>
          <w:vertAlign w:val="subscript"/>
        </w:rPr>
        <w:t>2</w:t>
      </w:r>
      <w:r w:rsidRPr="00A851CB">
        <w:rPr>
          <w:color w:val="000000"/>
          <w:kern w:val="0"/>
          <w:sz w:val="24"/>
        </w:rPr>
        <w:t>O, 1</w:t>
      </w:r>
      <w:r>
        <w:rPr>
          <w:color w:val="000000"/>
          <w:kern w:val="0"/>
          <w:sz w:val="24"/>
        </w:rPr>
        <w:t xml:space="preserve"> </w:t>
      </w:r>
      <w:proofErr w:type="spellStart"/>
      <w:r w:rsidRPr="00A851CB">
        <w:rPr>
          <w:color w:val="000000"/>
          <w:kern w:val="0"/>
          <w:sz w:val="24"/>
        </w:rPr>
        <w:t>μL</w:t>
      </w:r>
      <w:proofErr w:type="spellEnd"/>
      <w:r w:rsidRPr="00A851CB">
        <w:rPr>
          <w:color w:val="000000"/>
          <w:kern w:val="0"/>
          <w:sz w:val="24"/>
        </w:rPr>
        <w:t xml:space="preserve"> </w:t>
      </w:r>
      <w:proofErr w:type="spellStart"/>
      <w:r w:rsidRPr="00A851CB">
        <w:rPr>
          <w:color w:val="000000"/>
          <w:kern w:val="0"/>
          <w:sz w:val="24"/>
        </w:rPr>
        <w:t>MightyAmp</w:t>
      </w:r>
      <w:proofErr w:type="spellEnd"/>
      <w:r w:rsidRPr="00A851CB">
        <w:rPr>
          <w:color w:val="000000"/>
          <w:kern w:val="0"/>
          <w:sz w:val="24"/>
        </w:rPr>
        <w:t xml:space="preserve"> DNA </w:t>
      </w:r>
      <w:r w:rsidR="00284445">
        <w:rPr>
          <w:color w:val="000000"/>
          <w:kern w:val="0"/>
          <w:sz w:val="24"/>
        </w:rPr>
        <w:t>p</w:t>
      </w:r>
      <w:r w:rsidR="00284445" w:rsidRPr="00A851CB">
        <w:rPr>
          <w:color w:val="000000"/>
          <w:kern w:val="0"/>
          <w:sz w:val="24"/>
        </w:rPr>
        <w:t>olymerase</w:t>
      </w:r>
      <w:r>
        <w:rPr>
          <w:color w:val="000000"/>
          <w:kern w:val="0"/>
          <w:sz w:val="24"/>
        </w:rPr>
        <w:t>,</w:t>
      </w:r>
      <w:r w:rsidRPr="00A851CB">
        <w:rPr>
          <w:color w:val="000000"/>
          <w:kern w:val="0"/>
          <w:sz w:val="24"/>
        </w:rPr>
        <w:t xml:space="preserve"> and 5</w:t>
      </w:r>
      <w:r>
        <w:rPr>
          <w:color w:val="000000"/>
          <w:kern w:val="0"/>
          <w:sz w:val="24"/>
        </w:rPr>
        <w:t xml:space="preserve"> </w:t>
      </w:r>
      <w:proofErr w:type="spellStart"/>
      <w:r w:rsidRPr="00A851CB">
        <w:rPr>
          <w:color w:val="000000"/>
          <w:kern w:val="0"/>
          <w:sz w:val="24"/>
        </w:rPr>
        <w:t>μL</w:t>
      </w:r>
      <w:proofErr w:type="spellEnd"/>
      <w:r w:rsidRPr="00A851CB">
        <w:rPr>
          <w:color w:val="000000"/>
          <w:kern w:val="0"/>
          <w:sz w:val="24"/>
        </w:rPr>
        <w:t xml:space="preserve"> DNA template.</w:t>
      </w:r>
      <w:r w:rsidRPr="00A851CB">
        <w:rPr>
          <w:sz w:val="24"/>
        </w:rPr>
        <w:t xml:space="preserve"> </w:t>
      </w:r>
      <w:r w:rsidR="00284445">
        <w:rPr>
          <w:kern w:val="0"/>
          <w:sz w:val="24"/>
        </w:rPr>
        <w:t>Polymerase chain reaction</w:t>
      </w:r>
      <w:r w:rsidR="00284445" w:rsidRPr="00A851CB" w:rsidDel="00284445">
        <w:rPr>
          <w:sz w:val="24"/>
        </w:rPr>
        <w:t xml:space="preserve"> </w:t>
      </w:r>
      <w:proofErr w:type="spellStart"/>
      <w:r>
        <w:rPr>
          <w:sz w:val="24"/>
        </w:rPr>
        <w:t>thermo</w:t>
      </w:r>
      <w:r w:rsidRPr="00A851CB">
        <w:rPr>
          <w:sz w:val="24"/>
        </w:rPr>
        <w:t>cycling</w:t>
      </w:r>
      <w:proofErr w:type="spellEnd"/>
      <w:r w:rsidRPr="00A851CB">
        <w:rPr>
          <w:sz w:val="24"/>
        </w:rPr>
        <w:t xml:space="preserve"> of 28S</w:t>
      </w:r>
      <w:r>
        <w:rPr>
          <w:sz w:val="24"/>
        </w:rPr>
        <w:t xml:space="preserve"> rDNA</w:t>
      </w:r>
      <w:r w:rsidRPr="00A851CB">
        <w:rPr>
          <w:sz w:val="24"/>
        </w:rPr>
        <w:t xml:space="preserve"> was performed under the following conditions:</w:t>
      </w:r>
      <w:r>
        <w:rPr>
          <w:sz w:val="24"/>
        </w:rPr>
        <w:t xml:space="preserve"> an initial step of</w:t>
      </w:r>
      <w:r w:rsidRPr="00A851CB">
        <w:rPr>
          <w:sz w:val="24"/>
        </w:rPr>
        <w:t xml:space="preserve"> </w:t>
      </w:r>
      <w:r w:rsidR="00284445">
        <w:rPr>
          <w:sz w:val="24"/>
        </w:rPr>
        <w:t>two</w:t>
      </w:r>
      <w:r w:rsidR="00284445" w:rsidRPr="00A851CB">
        <w:rPr>
          <w:sz w:val="24"/>
        </w:rPr>
        <w:t xml:space="preserve"> </w:t>
      </w:r>
      <w:r w:rsidRPr="00A851CB">
        <w:rPr>
          <w:sz w:val="24"/>
        </w:rPr>
        <w:t>min</w:t>
      </w:r>
      <w:r w:rsidR="00284445">
        <w:rPr>
          <w:sz w:val="24"/>
        </w:rPr>
        <w:t>utes</w:t>
      </w:r>
      <w:r w:rsidRPr="00A851CB">
        <w:rPr>
          <w:sz w:val="24"/>
        </w:rPr>
        <w:t xml:space="preserve"> at 95</w:t>
      </w:r>
      <w:r w:rsidR="00284445">
        <w:rPr>
          <w:sz w:val="24"/>
        </w:rPr>
        <w:t xml:space="preserve"> </w:t>
      </w:r>
      <w:r w:rsidRPr="00A851CB">
        <w:rPr>
          <w:sz w:val="24"/>
        </w:rPr>
        <w:t>°C</w:t>
      </w:r>
      <w:r>
        <w:rPr>
          <w:sz w:val="24"/>
        </w:rPr>
        <w:t>, then</w:t>
      </w:r>
      <w:r w:rsidRPr="00A851CB">
        <w:rPr>
          <w:sz w:val="24"/>
        </w:rPr>
        <w:t xml:space="preserve"> 35 cycles of 50 s</w:t>
      </w:r>
      <w:r w:rsidR="00284445">
        <w:rPr>
          <w:sz w:val="24"/>
        </w:rPr>
        <w:t>econds</w:t>
      </w:r>
      <w:r w:rsidRPr="00A851CB">
        <w:rPr>
          <w:sz w:val="24"/>
        </w:rPr>
        <w:t xml:space="preserve"> at 94</w:t>
      </w:r>
      <w:r w:rsidR="00284445">
        <w:rPr>
          <w:sz w:val="24"/>
        </w:rPr>
        <w:t xml:space="preserve"> </w:t>
      </w:r>
      <w:r w:rsidRPr="00A851CB">
        <w:rPr>
          <w:sz w:val="24"/>
        </w:rPr>
        <w:t xml:space="preserve">°C, </w:t>
      </w:r>
      <w:r w:rsidR="00284445">
        <w:rPr>
          <w:sz w:val="24"/>
        </w:rPr>
        <w:t>one</w:t>
      </w:r>
      <w:r w:rsidR="00284445" w:rsidRPr="00A851CB">
        <w:rPr>
          <w:sz w:val="24"/>
        </w:rPr>
        <w:t xml:space="preserve"> </w:t>
      </w:r>
      <w:r w:rsidRPr="00A851CB">
        <w:rPr>
          <w:sz w:val="24"/>
        </w:rPr>
        <w:t>min</w:t>
      </w:r>
      <w:r w:rsidR="00284445">
        <w:rPr>
          <w:sz w:val="24"/>
        </w:rPr>
        <w:t>ute</w:t>
      </w:r>
      <w:r w:rsidRPr="00A851CB">
        <w:rPr>
          <w:sz w:val="24"/>
        </w:rPr>
        <w:t xml:space="preserve"> at 60</w:t>
      </w:r>
      <w:r w:rsidR="00284445">
        <w:rPr>
          <w:sz w:val="24"/>
        </w:rPr>
        <w:t xml:space="preserve"> </w:t>
      </w:r>
      <w:r w:rsidRPr="00A851CB">
        <w:rPr>
          <w:sz w:val="24"/>
        </w:rPr>
        <w:t xml:space="preserve">°C, </w:t>
      </w:r>
      <w:r w:rsidR="00284445">
        <w:rPr>
          <w:sz w:val="24"/>
        </w:rPr>
        <w:t>one</w:t>
      </w:r>
      <w:r w:rsidR="00284445" w:rsidRPr="00A851CB">
        <w:rPr>
          <w:sz w:val="24"/>
        </w:rPr>
        <w:t xml:space="preserve"> </w:t>
      </w:r>
      <w:r w:rsidRPr="00A851CB">
        <w:rPr>
          <w:sz w:val="24"/>
        </w:rPr>
        <w:t>min</w:t>
      </w:r>
      <w:r w:rsidR="00284445">
        <w:rPr>
          <w:sz w:val="24"/>
        </w:rPr>
        <w:t>ute</w:t>
      </w:r>
      <w:r w:rsidRPr="00A851CB">
        <w:rPr>
          <w:sz w:val="24"/>
        </w:rPr>
        <w:t xml:space="preserve"> at 72</w:t>
      </w:r>
      <w:r w:rsidR="00284445">
        <w:rPr>
          <w:sz w:val="24"/>
        </w:rPr>
        <w:t xml:space="preserve"> </w:t>
      </w:r>
      <w:r>
        <w:rPr>
          <w:sz w:val="24"/>
        </w:rPr>
        <w:t>°C, followed by</w:t>
      </w:r>
      <w:r w:rsidRPr="00A851CB">
        <w:rPr>
          <w:sz w:val="24"/>
        </w:rPr>
        <w:t xml:space="preserve"> </w:t>
      </w:r>
      <w:r w:rsidR="00284445">
        <w:rPr>
          <w:sz w:val="24"/>
        </w:rPr>
        <w:t>five</w:t>
      </w:r>
      <w:r w:rsidR="00284445" w:rsidRPr="00A851CB">
        <w:rPr>
          <w:sz w:val="24"/>
        </w:rPr>
        <w:t xml:space="preserve"> </w:t>
      </w:r>
      <w:r w:rsidRPr="00A851CB">
        <w:rPr>
          <w:sz w:val="24"/>
        </w:rPr>
        <w:t>min</w:t>
      </w:r>
      <w:r w:rsidR="00284445">
        <w:rPr>
          <w:sz w:val="24"/>
        </w:rPr>
        <w:t>utes</w:t>
      </w:r>
      <w:r w:rsidRPr="00A851CB">
        <w:rPr>
          <w:sz w:val="24"/>
        </w:rPr>
        <w:t xml:space="preserve"> at 72</w:t>
      </w:r>
      <w:r w:rsidR="00284445">
        <w:rPr>
          <w:sz w:val="24"/>
        </w:rPr>
        <w:t xml:space="preserve"> </w:t>
      </w:r>
      <w:r w:rsidRPr="00A851CB">
        <w:rPr>
          <w:sz w:val="24"/>
        </w:rPr>
        <w:t xml:space="preserve">°C. All </w:t>
      </w:r>
      <w:r w:rsidRPr="00A851CB">
        <w:rPr>
          <w:color w:val="000000"/>
          <w:kern w:val="0"/>
          <w:sz w:val="24"/>
        </w:rPr>
        <w:t xml:space="preserve">products were </w:t>
      </w:r>
      <w:proofErr w:type="spellStart"/>
      <w:r w:rsidR="00284445" w:rsidRPr="00A851CB">
        <w:rPr>
          <w:color w:val="000000"/>
          <w:kern w:val="0"/>
          <w:sz w:val="24"/>
        </w:rPr>
        <w:t>visuali</w:t>
      </w:r>
      <w:r w:rsidR="00284445">
        <w:rPr>
          <w:color w:val="000000"/>
          <w:kern w:val="0"/>
          <w:sz w:val="24"/>
        </w:rPr>
        <w:t>s</w:t>
      </w:r>
      <w:r w:rsidR="00284445" w:rsidRPr="00A851CB">
        <w:rPr>
          <w:color w:val="000000"/>
          <w:kern w:val="0"/>
          <w:sz w:val="24"/>
        </w:rPr>
        <w:t>ed</w:t>
      </w:r>
      <w:proofErr w:type="spellEnd"/>
      <w:r w:rsidR="00284445" w:rsidRPr="00A851CB">
        <w:rPr>
          <w:color w:val="000000"/>
          <w:kern w:val="0"/>
          <w:sz w:val="24"/>
        </w:rPr>
        <w:t xml:space="preserve"> </w:t>
      </w:r>
      <w:r w:rsidRPr="00A851CB">
        <w:rPr>
          <w:color w:val="000000"/>
          <w:kern w:val="0"/>
          <w:sz w:val="24"/>
        </w:rPr>
        <w:t>on</w:t>
      </w:r>
      <w:r>
        <w:rPr>
          <w:color w:val="000000"/>
          <w:kern w:val="0"/>
          <w:sz w:val="24"/>
        </w:rPr>
        <w:t xml:space="preserve"> a</w:t>
      </w:r>
      <w:r w:rsidRPr="00A851CB">
        <w:rPr>
          <w:color w:val="000000"/>
          <w:kern w:val="0"/>
          <w:sz w:val="24"/>
        </w:rPr>
        <w:t xml:space="preserve"> 1% agarose</w:t>
      </w:r>
      <w:r>
        <w:rPr>
          <w:color w:val="000000"/>
          <w:kern w:val="0"/>
          <w:sz w:val="24"/>
        </w:rPr>
        <w:t xml:space="preserve"> gel</w:t>
      </w:r>
      <w:r w:rsidRPr="00A851CB">
        <w:rPr>
          <w:color w:val="000000"/>
          <w:kern w:val="0"/>
          <w:sz w:val="24"/>
        </w:rPr>
        <w:t xml:space="preserve">, and the most intense products were sequenced using </w:t>
      </w:r>
      <w:proofErr w:type="spellStart"/>
      <w:r w:rsidRPr="00A851CB">
        <w:rPr>
          <w:color w:val="000000"/>
          <w:kern w:val="0"/>
          <w:sz w:val="24"/>
        </w:rPr>
        <w:t>BigDye</w:t>
      </w:r>
      <w:proofErr w:type="spellEnd"/>
      <w:r w:rsidRPr="00A851CB">
        <w:rPr>
          <w:color w:val="000000"/>
          <w:kern w:val="0"/>
          <w:sz w:val="24"/>
        </w:rPr>
        <w:t xml:space="preserve"> v</w:t>
      </w:r>
      <w:r>
        <w:rPr>
          <w:color w:val="000000"/>
          <w:kern w:val="0"/>
          <w:sz w:val="24"/>
        </w:rPr>
        <w:t xml:space="preserve">. </w:t>
      </w:r>
      <w:r w:rsidRPr="00A851CB">
        <w:rPr>
          <w:color w:val="000000"/>
          <w:kern w:val="0"/>
          <w:sz w:val="24"/>
        </w:rPr>
        <w:t xml:space="preserve">3.1 on </w:t>
      </w:r>
      <w:r>
        <w:rPr>
          <w:color w:val="000000"/>
          <w:kern w:val="0"/>
          <w:sz w:val="24"/>
        </w:rPr>
        <w:t xml:space="preserve">the </w:t>
      </w:r>
      <w:r w:rsidRPr="00A851CB">
        <w:rPr>
          <w:color w:val="000000"/>
          <w:kern w:val="0"/>
          <w:sz w:val="24"/>
        </w:rPr>
        <w:t xml:space="preserve">ABI3730xl DNA </w:t>
      </w:r>
      <w:proofErr w:type="spellStart"/>
      <w:r w:rsidR="00A74208">
        <w:rPr>
          <w:color w:val="000000"/>
          <w:kern w:val="0"/>
          <w:sz w:val="24"/>
        </w:rPr>
        <w:t>a</w:t>
      </w:r>
      <w:r w:rsidR="00A74208" w:rsidRPr="00A851CB">
        <w:rPr>
          <w:color w:val="000000"/>
          <w:kern w:val="0"/>
          <w:sz w:val="24"/>
        </w:rPr>
        <w:t>naly</w:t>
      </w:r>
      <w:r w:rsidR="00A74208">
        <w:rPr>
          <w:color w:val="000000"/>
          <w:kern w:val="0"/>
          <w:sz w:val="24"/>
        </w:rPr>
        <w:t>s</w:t>
      </w:r>
      <w:r w:rsidR="00A74208" w:rsidRPr="00A851CB">
        <w:rPr>
          <w:color w:val="000000"/>
          <w:kern w:val="0"/>
          <w:sz w:val="24"/>
        </w:rPr>
        <w:t>er</w:t>
      </w:r>
      <w:proofErr w:type="spellEnd"/>
      <w:r w:rsidR="00A74208" w:rsidRPr="00A851CB">
        <w:rPr>
          <w:color w:val="000000"/>
          <w:kern w:val="0"/>
          <w:sz w:val="24"/>
        </w:rPr>
        <w:t xml:space="preserve"> </w:t>
      </w:r>
      <w:r w:rsidRPr="00A851CB">
        <w:rPr>
          <w:color w:val="000000"/>
          <w:kern w:val="0"/>
          <w:sz w:val="24"/>
        </w:rPr>
        <w:t xml:space="preserve">(Applied </w:t>
      </w:r>
      <w:proofErr w:type="spellStart"/>
      <w:r w:rsidRPr="00A851CB">
        <w:rPr>
          <w:color w:val="000000"/>
          <w:kern w:val="0"/>
          <w:sz w:val="24"/>
        </w:rPr>
        <w:t>Biosystems</w:t>
      </w:r>
      <w:proofErr w:type="spellEnd"/>
      <w:r w:rsidR="00646712" w:rsidRPr="00646712">
        <w:rPr>
          <w:color w:val="000000"/>
          <w:kern w:val="0"/>
          <w:sz w:val="24"/>
        </w:rPr>
        <w:t>, Carlsbad, C</w:t>
      </w:r>
      <w:r w:rsidR="00892E7C">
        <w:rPr>
          <w:color w:val="000000"/>
          <w:kern w:val="0"/>
          <w:sz w:val="24"/>
        </w:rPr>
        <w:t>alifornia, United States of America</w:t>
      </w:r>
      <w:r w:rsidRPr="00A851CB">
        <w:rPr>
          <w:color w:val="000000"/>
          <w:kern w:val="0"/>
          <w:sz w:val="24"/>
        </w:rPr>
        <w:t xml:space="preserve">). </w:t>
      </w:r>
    </w:p>
    <w:p w14:paraId="00D1EAA5" w14:textId="77777777" w:rsidR="00421D6B" w:rsidRPr="00646712" w:rsidRDefault="00421D6B" w:rsidP="00421D6B">
      <w:pPr>
        <w:autoSpaceDE w:val="0"/>
        <w:autoSpaceDN w:val="0"/>
        <w:adjustRightInd w:val="0"/>
        <w:spacing w:line="480" w:lineRule="auto"/>
        <w:rPr>
          <w:color w:val="000000"/>
          <w:kern w:val="0"/>
          <w:sz w:val="24"/>
        </w:rPr>
      </w:pPr>
    </w:p>
    <w:p w14:paraId="10236634" w14:textId="77777777" w:rsidR="00421D6B" w:rsidRPr="00A851CB" w:rsidRDefault="00421D6B" w:rsidP="00421D6B">
      <w:pPr>
        <w:spacing w:line="480" w:lineRule="auto"/>
        <w:rPr>
          <w:b/>
          <w:kern w:val="0"/>
          <w:sz w:val="24"/>
        </w:rPr>
      </w:pPr>
      <w:r w:rsidRPr="00A851CB">
        <w:rPr>
          <w:b/>
          <w:kern w:val="0"/>
          <w:sz w:val="24"/>
        </w:rPr>
        <w:t>Sequenc</w:t>
      </w:r>
      <w:r>
        <w:rPr>
          <w:b/>
          <w:kern w:val="0"/>
          <w:sz w:val="24"/>
        </w:rPr>
        <w:t>ing</w:t>
      </w:r>
      <w:r w:rsidRPr="00A851CB">
        <w:rPr>
          <w:b/>
          <w:kern w:val="0"/>
          <w:sz w:val="24"/>
        </w:rPr>
        <w:t xml:space="preserve"> analyses</w:t>
      </w:r>
    </w:p>
    <w:p w14:paraId="39149D74" w14:textId="7AA333CD" w:rsidR="00421D6B" w:rsidRDefault="00421D6B" w:rsidP="00131F13">
      <w:pPr>
        <w:spacing w:line="480" w:lineRule="auto"/>
        <w:ind w:firstLine="420"/>
        <w:rPr>
          <w:kern w:val="0"/>
          <w:sz w:val="24"/>
        </w:rPr>
      </w:pPr>
      <w:r w:rsidRPr="00A851CB">
        <w:rPr>
          <w:kern w:val="0"/>
          <w:sz w:val="24"/>
        </w:rPr>
        <w:t xml:space="preserve">The sequences were aligned using </w:t>
      </w:r>
      <w:proofErr w:type="spellStart"/>
      <w:r w:rsidRPr="00A851CB">
        <w:rPr>
          <w:kern w:val="0"/>
          <w:sz w:val="24"/>
        </w:rPr>
        <w:t>Clustal</w:t>
      </w:r>
      <w:r>
        <w:rPr>
          <w:kern w:val="0"/>
          <w:sz w:val="24"/>
        </w:rPr>
        <w:t>W</w:t>
      </w:r>
      <w:proofErr w:type="spellEnd"/>
      <w:r>
        <w:rPr>
          <w:kern w:val="0"/>
          <w:sz w:val="24"/>
        </w:rPr>
        <w:t xml:space="preserve"> in </w:t>
      </w:r>
      <w:proofErr w:type="spellStart"/>
      <w:r>
        <w:rPr>
          <w:kern w:val="0"/>
          <w:sz w:val="24"/>
        </w:rPr>
        <w:t>Bioedit</w:t>
      </w:r>
      <w:proofErr w:type="spellEnd"/>
      <w:r>
        <w:rPr>
          <w:kern w:val="0"/>
          <w:sz w:val="24"/>
        </w:rPr>
        <w:t xml:space="preserve"> version 7.05 (Hall</w:t>
      </w:r>
      <w:r w:rsidRPr="00A851CB">
        <w:rPr>
          <w:kern w:val="0"/>
          <w:sz w:val="24"/>
        </w:rPr>
        <w:t xml:space="preserve"> 1999) </w:t>
      </w:r>
      <w:r>
        <w:rPr>
          <w:kern w:val="0"/>
          <w:sz w:val="24"/>
        </w:rPr>
        <w:t>using</w:t>
      </w:r>
      <w:r w:rsidRPr="00A851CB">
        <w:rPr>
          <w:kern w:val="0"/>
          <w:sz w:val="24"/>
        </w:rPr>
        <w:t xml:space="preserve"> default parameters. Genetic distances were calculated with the K2P distance model (</w:t>
      </w:r>
      <w:bookmarkStart w:id="15" w:name="OLE_LINK79"/>
      <w:bookmarkStart w:id="16" w:name="OLE_LINK80"/>
      <w:r>
        <w:rPr>
          <w:kern w:val="0"/>
          <w:sz w:val="24"/>
        </w:rPr>
        <w:t>Kimura</w:t>
      </w:r>
      <w:r w:rsidRPr="00A851CB">
        <w:rPr>
          <w:kern w:val="0"/>
          <w:sz w:val="24"/>
        </w:rPr>
        <w:t xml:space="preserve"> 1980</w:t>
      </w:r>
      <w:bookmarkEnd w:id="15"/>
      <w:bookmarkEnd w:id="16"/>
      <w:r w:rsidRPr="00A851CB">
        <w:rPr>
          <w:kern w:val="0"/>
          <w:sz w:val="24"/>
        </w:rPr>
        <w:t xml:space="preserve">), and </w:t>
      </w:r>
      <w:proofErr w:type="spellStart"/>
      <w:r w:rsidRPr="00A851CB">
        <w:rPr>
          <w:kern w:val="0"/>
          <w:sz w:val="24"/>
        </w:rPr>
        <w:t>neighbo</w:t>
      </w:r>
      <w:r w:rsidR="00161A29">
        <w:rPr>
          <w:kern w:val="0"/>
          <w:sz w:val="24"/>
        </w:rPr>
        <w:t>u</w:t>
      </w:r>
      <w:r w:rsidRPr="00A851CB">
        <w:rPr>
          <w:kern w:val="0"/>
          <w:sz w:val="24"/>
        </w:rPr>
        <w:t>r</w:t>
      </w:r>
      <w:proofErr w:type="spellEnd"/>
      <w:r w:rsidRPr="00A851CB">
        <w:rPr>
          <w:kern w:val="0"/>
          <w:sz w:val="24"/>
        </w:rPr>
        <w:t>-joining (NJ) trees (Saitou and</w:t>
      </w:r>
      <w:r>
        <w:rPr>
          <w:kern w:val="0"/>
          <w:sz w:val="24"/>
        </w:rPr>
        <w:t xml:space="preserve"> </w:t>
      </w:r>
      <w:proofErr w:type="spellStart"/>
      <w:r>
        <w:rPr>
          <w:kern w:val="0"/>
          <w:sz w:val="24"/>
        </w:rPr>
        <w:t>Nei</w:t>
      </w:r>
      <w:proofErr w:type="spellEnd"/>
      <w:r w:rsidRPr="00A851CB">
        <w:rPr>
          <w:kern w:val="0"/>
          <w:sz w:val="24"/>
        </w:rPr>
        <w:t xml:space="preserve"> 1987) of </w:t>
      </w:r>
      <w:r>
        <w:rPr>
          <w:kern w:val="0"/>
          <w:sz w:val="24"/>
        </w:rPr>
        <w:t xml:space="preserve">the </w:t>
      </w:r>
      <w:r w:rsidRPr="00A851CB">
        <w:rPr>
          <w:kern w:val="0"/>
          <w:sz w:val="24"/>
        </w:rPr>
        <w:t xml:space="preserve">COI and 28S genes were reconstructed employing 1000 bootstrap replications in MEGA4 (Tamura </w:t>
      </w:r>
      <w:r w:rsidRPr="00A851CB">
        <w:rPr>
          <w:i/>
          <w:kern w:val="0"/>
          <w:sz w:val="24"/>
        </w:rPr>
        <w:t>et al.</w:t>
      </w:r>
      <w:r w:rsidRPr="00A851CB">
        <w:rPr>
          <w:kern w:val="0"/>
          <w:sz w:val="24"/>
        </w:rPr>
        <w:t xml:space="preserve"> 2007). </w:t>
      </w:r>
      <w:proofErr w:type="spellStart"/>
      <w:r w:rsidRPr="00A851CB">
        <w:rPr>
          <w:i/>
          <w:kern w:val="0"/>
          <w:sz w:val="24"/>
        </w:rPr>
        <w:t>E</w:t>
      </w:r>
      <w:r w:rsidRPr="005A6E25">
        <w:rPr>
          <w:i/>
          <w:kern w:val="0"/>
          <w:sz w:val="24"/>
        </w:rPr>
        <w:t>ulecanium</w:t>
      </w:r>
      <w:proofErr w:type="spellEnd"/>
      <w:r w:rsidRPr="00A851CB">
        <w:rPr>
          <w:i/>
          <w:kern w:val="0"/>
          <w:sz w:val="24"/>
        </w:rPr>
        <w:t xml:space="preserve"> </w:t>
      </w:r>
      <w:proofErr w:type="spellStart"/>
      <w:r w:rsidRPr="00A851CB">
        <w:rPr>
          <w:i/>
          <w:kern w:val="0"/>
          <w:sz w:val="24"/>
        </w:rPr>
        <w:t>cerasorum</w:t>
      </w:r>
      <w:proofErr w:type="spellEnd"/>
      <w:r w:rsidRPr="00A851CB">
        <w:rPr>
          <w:i/>
          <w:kern w:val="0"/>
          <w:sz w:val="24"/>
        </w:rPr>
        <w:t xml:space="preserve"> </w:t>
      </w:r>
      <w:r w:rsidRPr="00A851CB">
        <w:rPr>
          <w:kern w:val="0"/>
          <w:sz w:val="24"/>
        </w:rPr>
        <w:t>(</w:t>
      </w:r>
      <w:proofErr w:type="spellStart"/>
      <w:r w:rsidRPr="00A851CB">
        <w:rPr>
          <w:kern w:val="0"/>
          <w:sz w:val="24"/>
        </w:rPr>
        <w:t>Cockerell</w:t>
      </w:r>
      <w:proofErr w:type="spellEnd"/>
      <w:r w:rsidRPr="00A851CB">
        <w:rPr>
          <w:kern w:val="0"/>
          <w:sz w:val="24"/>
        </w:rPr>
        <w:t xml:space="preserve">) collected from Shanghai on </w:t>
      </w:r>
      <w:r w:rsidRPr="00A851CB">
        <w:rPr>
          <w:i/>
          <w:kern w:val="0"/>
          <w:sz w:val="24"/>
        </w:rPr>
        <w:t xml:space="preserve">Acer </w:t>
      </w:r>
      <w:proofErr w:type="spellStart"/>
      <w:r w:rsidRPr="00A851CB">
        <w:rPr>
          <w:i/>
          <w:kern w:val="0"/>
          <w:sz w:val="24"/>
        </w:rPr>
        <w:t>buergerianum</w:t>
      </w:r>
      <w:proofErr w:type="spellEnd"/>
      <w:r w:rsidRPr="00A851CB">
        <w:rPr>
          <w:kern w:val="0"/>
          <w:sz w:val="24"/>
        </w:rPr>
        <w:t xml:space="preserve"> </w:t>
      </w:r>
      <w:proofErr w:type="spellStart"/>
      <w:r w:rsidR="00BA44FE">
        <w:rPr>
          <w:kern w:val="0"/>
          <w:sz w:val="24"/>
        </w:rPr>
        <w:t>Miquel</w:t>
      </w:r>
      <w:proofErr w:type="spellEnd"/>
      <w:r w:rsidR="00BA44FE">
        <w:rPr>
          <w:kern w:val="0"/>
          <w:sz w:val="24"/>
        </w:rPr>
        <w:t xml:space="preserve"> </w:t>
      </w:r>
      <w:r w:rsidRPr="00A851CB">
        <w:rPr>
          <w:kern w:val="0"/>
          <w:sz w:val="24"/>
        </w:rPr>
        <w:t>(</w:t>
      </w:r>
      <w:proofErr w:type="spellStart"/>
      <w:r w:rsidR="00BA44FE" w:rsidRPr="00BA44FE">
        <w:rPr>
          <w:kern w:val="0"/>
          <w:sz w:val="24"/>
        </w:rPr>
        <w:t>Sapindaceae</w:t>
      </w:r>
      <w:proofErr w:type="spellEnd"/>
      <w:r w:rsidRPr="00A851CB">
        <w:rPr>
          <w:kern w:val="0"/>
          <w:sz w:val="24"/>
        </w:rPr>
        <w:t xml:space="preserve">) was selected as </w:t>
      </w:r>
      <w:proofErr w:type="gramStart"/>
      <w:r>
        <w:rPr>
          <w:kern w:val="0"/>
          <w:sz w:val="24"/>
        </w:rPr>
        <w:t xml:space="preserve">an </w:t>
      </w:r>
      <w:r w:rsidRPr="00A851CB">
        <w:rPr>
          <w:sz w:val="24"/>
        </w:rPr>
        <w:t>outgroup</w:t>
      </w:r>
      <w:proofErr w:type="gramEnd"/>
      <w:r w:rsidRPr="00A851CB">
        <w:rPr>
          <w:sz w:val="24"/>
        </w:rPr>
        <w:t xml:space="preserve">. </w:t>
      </w:r>
      <w:r w:rsidRPr="00A851CB">
        <w:rPr>
          <w:kern w:val="0"/>
          <w:sz w:val="24"/>
        </w:rPr>
        <w:t xml:space="preserve">The </w:t>
      </w:r>
      <w:bookmarkStart w:id="17" w:name="OLE_LINK156"/>
      <w:bookmarkStart w:id="18" w:name="OLE_LINK157"/>
      <w:r w:rsidR="00BA44FE">
        <w:rPr>
          <w:kern w:val="0"/>
          <w:sz w:val="24"/>
        </w:rPr>
        <w:t>“</w:t>
      </w:r>
      <w:r w:rsidR="00BA44FE" w:rsidRPr="00A851CB">
        <w:rPr>
          <w:kern w:val="0"/>
          <w:sz w:val="24"/>
        </w:rPr>
        <w:t xml:space="preserve">best close </w:t>
      </w:r>
      <w:bookmarkEnd w:id="17"/>
      <w:bookmarkEnd w:id="18"/>
      <w:r w:rsidR="00BA44FE" w:rsidRPr="00A851CB">
        <w:rPr>
          <w:kern w:val="0"/>
          <w:sz w:val="24"/>
        </w:rPr>
        <w:t>match</w:t>
      </w:r>
      <w:r w:rsidR="00BA44FE">
        <w:rPr>
          <w:kern w:val="0"/>
          <w:sz w:val="24"/>
        </w:rPr>
        <w:t>”</w:t>
      </w:r>
      <w:r w:rsidR="00BA44FE" w:rsidRPr="00A851CB">
        <w:rPr>
          <w:kern w:val="0"/>
          <w:sz w:val="24"/>
        </w:rPr>
        <w:t xml:space="preserve"> </w:t>
      </w:r>
      <w:r w:rsidRPr="00A851CB">
        <w:rPr>
          <w:kern w:val="0"/>
          <w:sz w:val="24"/>
        </w:rPr>
        <w:t xml:space="preserve">method was used to </w:t>
      </w:r>
      <w:r>
        <w:rPr>
          <w:kern w:val="0"/>
          <w:sz w:val="24"/>
        </w:rPr>
        <w:t>evaluate</w:t>
      </w:r>
      <w:r w:rsidRPr="00A851CB">
        <w:rPr>
          <w:kern w:val="0"/>
          <w:sz w:val="24"/>
        </w:rPr>
        <w:t xml:space="preserve"> the accuracy of species assignments based on the barcode sequences in </w:t>
      </w:r>
      <w:proofErr w:type="spellStart"/>
      <w:r w:rsidRPr="00A851CB">
        <w:rPr>
          <w:kern w:val="0"/>
          <w:sz w:val="24"/>
        </w:rPr>
        <w:t>TaxonDNA</w:t>
      </w:r>
      <w:proofErr w:type="spellEnd"/>
      <w:r w:rsidRPr="00A851CB">
        <w:rPr>
          <w:kern w:val="0"/>
          <w:sz w:val="24"/>
        </w:rPr>
        <w:t xml:space="preserve"> (Meier </w:t>
      </w:r>
      <w:r w:rsidRPr="00A851CB">
        <w:rPr>
          <w:i/>
          <w:kern w:val="0"/>
          <w:sz w:val="24"/>
        </w:rPr>
        <w:t>et al</w:t>
      </w:r>
      <w:r>
        <w:rPr>
          <w:kern w:val="0"/>
          <w:sz w:val="24"/>
        </w:rPr>
        <w:t>.</w:t>
      </w:r>
      <w:r w:rsidRPr="00A851CB">
        <w:rPr>
          <w:kern w:val="0"/>
          <w:sz w:val="24"/>
        </w:rPr>
        <w:t xml:space="preserve"> 2006). </w:t>
      </w:r>
      <w:proofErr w:type="spellStart"/>
      <w:r w:rsidRPr="00A851CB">
        <w:rPr>
          <w:kern w:val="0"/>
          <w:sz w:val="24"/>
        </w:rPr>
        <w:t>TaxonDNA</w:t>
      </w:r>
      <w:proofErr w:type="spellEnd"/>
      <w:r w:rsidRPr="00A851CB">
        <w:rPr>
          <w:kern w:val="0"/>
          <w:sz w:val="24"/>
        </w:rPr>
        <w:t xml:space="preserve"> is an effective tool to assess identification rates</w:t>
      </w:r>
      <w:r>
        <w:rPr>
          <w:kern w:val="0"/>
          <w:sz w:val="24"/>
        </w:rPr>
        <w:t xml:space="preserve"> for DNA barcodes (Meier </w:t>
      </w:r>
      <w:r w:rsidRPr="00131F13">
        <w:rPr>
          <w:i/>
          <w:kern w:val="0"/>
          <w:sz w:val="24"/>
        </w:rPr>
        <w:t>et al</w:t>
      </w:r>
      <w:r>
        <w:rPr>
          <w:kern w:val="0"/>
          <w:sz w:val="24"/>
        </w:rPr>
        <w:t>.</w:t>
      </w:r>
      <w:r w:rsidRPr="00A851CB">
        <w:rPr>
          <w:kern w:val="0"/>
          <w:sz w:val="24"/>
        </w:rPr>
        <w:t xml:space="preserve"> 2006). This program sets a threshold value to test barcoding efficiencies</w:t>
      </w:r>
      <w:r>
        <w:rPr>
          <w:kern w:val="0"/>
          <w:sz w:val="24"/>
        </w:rPr>
        <w:t xml:space="preserve"> and yields</w:t>
      </w:r>
      <w:r w:rsidRPr="00A851CB">
        <w:rPr>
          <w:kern w:val="0"/>
          <w:sz w:val="24"/>
        </w:rPr>
        <w:t xml:space="preserve"> more perspicuous results. The threshold value is set according to a frequency distribution of all intraspecific pairwise distances. Below the </w:t>
      </w:r>
      <w:bookmarkStart w:id="19" w:name="OLE_LINK83"/>
      <w:r w:rsidRPr="00A851CB">
        <w:rPr>
          <w:kern w:val="0"/>
          <w:sz w:val="24"/>
        </w:rPr>
        <w:t>threshold value</w:t>
      </w:r>
      <w:bookmarkEnd w:id="19"/>
      <w:r w:rsidRPr="00A851CB">
        <w:rPr>
          <w:kern w:val="0"/>
          <w:sz w:val="24"/>
        </w:rPr>
        <w:t xml:space="preserve">, 95% of </w:t>
      </w:r>
      <w:r w:rsidRPr="00A851CB">
        <w:rPr>
          <w:kern w:val="0"/>
          <w:sz w:val="24"/>
        </w:rPr>
        <w:lastRenderedPageBreak/>
        <w:t xml:space="preserve">all intraspecific pairwise distances are </w:t>
      </w:r>
      <w:r>
        <w:rPr>
          <w:kern w:val="0"/>
          <w:sz w:val="24"/>
        </w:rPr>
        <w:t>identified</w:t>
      </w:r>
      <w:r w:rsidRPr="00A851CB">
        <w:rPr>
          <w:kern w:val="0"/>
          <w:sz w:val="24"/>
        </w:rPr>
        <w:t xml:space="preserve"> (Meier </w:t>
      </w:r>
      <w:r w:rsidRPr="00A851CB">
        <w:rPr>
          <w:i/>
          <w:kern w:val="0"/>
          <w:sz w:val="24"/>
        </w:rPr>
        <w:t>et al</w:t>
      </w:r>
      <w:r>
        <w:rPr>
          <w:kern w:val="0"/>
          <w:sz w:val="24"/>
        </w:rPr>
        <w:t>.</w:t>
      </w:r>
      <w:r w:rsidRPr="00A851CB">
        <w:rPr>
          <w:kern w:val="0"/>
          <w:sz w:val="24"/>
        </w:rPr>
        <w:t xml:space="preserve"> 2006). Queries with</w:t>
      </w:r>
      <w:r>
        <w:rPr>
          <w:kern w:val="0"/>
          <w:sz w:val="24"/>
        </w:rPr>
        <w:t xml:space="preserve"> a</w:t>
      </w:r>
      <w:r w:rsidRPr="00A851CB">
        <w:rPr>
          <w:kern w:val="0"/>
          <w:sz w:val="24"/>
        </w:rPr>
        <w:t xml:space="preserve"> barcode match below the</w:t>
      </w:r>
      <w:r>
        <w:rPr>
          <w:kern w:val="0"/>
          <w:sz w:val="24"/>
        </w:rPr>
        <w:t xml:space="preserve"> threshold value are considered</w:t>
      </w:r>
      <w:r w:rsidRPr="00A851CB">
        <w:rPr>
          <w:kern w:val="0"/>
          <w:sz w:val="24"/>
        </w:rPr>
        <w:t xml:space="preserve"> an identification success.</w:t>
      </w:r>
    </w:p>
    <w:p w14:paraId="66E931D5" w14:textId="77777777" w:rsidR="00421D6B" w:rsidRPr="00A851CB" w:rsidRDefault="00421D6B" w:rsidP="00421D6B">
      <w:pPr>
        <w:spacing w:line="480" w:lineRule="auto"/>
        <w:rPr>
          <w:kern w:val="0"/>
          <w:sz w:val="24"/>
        </w:rPr>
      </w:pPr>
    </w:p>
    <w:p w14:paraId="1B29B3DD" w14:textId="77777777" w:rsidR="00421D6B" w:rsidRPr="00A851CB" w:rsidRDefault="00421D6B" w:rsidP="00421D6B">
      <w:pPr>
        <w:spacing w:line="480" w:lineRule="auto"/>
        <w:rPr>
          <w:b/>
          <w:kern w:val="0"/>
          <w:sz w:val="24"/>
        </w:rPr>
      </w:pPr>
      <w:r>
        <w:rPr>
          <w:b/>
          <w:kern w:val="0"/>
          <w:sz w:val="24"/>
        </w:rPr>
        <w:t>C</w:t>
      </w:r>
      <w:r w:rsidRPr="00A851CB">
        <w:rPr>
          <w:b/>
          <w:kern w:val="0"/>
          <w:sz w:val="24"/>
        </w:rPr>
        <w:t xml:space="preserve">omparison of distribution and host ranges </w:t>
      </w:r>
    </w:p>
    <w:p w14:paraId="29E5E5F3" w14:textId="77777777" w:rsidR="00421D6B" w:rsidRDefault="00421D6B" w:rsidP="00131F13">
      <w:pPr>
        <w:spacing w:line="480" w:lineRule="auto"/>
        <w:ind w:firstLine="420"/>
        <w:rPr>
          <w:kern w:val="0"/>
          <w:sz w:val="24"/>
        </w:rPr>
      </w:pPr>
      <w:r w:rsidRPr="00A851CB">
        <w:rPr>
          <w:kern w:val="0"/>
          <w:sz w:val="24"/>
        </w:rPr>
        <w:t>T</w:t>
      </w:r>
      <w:r>
        <w:rPr>
          <w:kern w:val="0"/>
          <w:sz w:val="24"/>
        </w:rPr>
        <w:t>he distribution and host</w:t>
      </w:r>
      <w:r w:rsidRPr="00A851CB">
        <w:rPr>
          <w:kern w:val="0"/>
          <w:sz w:val="24"/>
        </w:rPr>
        <w:t xml:space="preserve"> ranges </w:t>
      </w:r>
      <w:r>
        <w:rPr>
          <w:kern w:val="0"/>
          <w:sz w:val="24"/>
        </w:rPr>
        <w:t>are</w:t>
      </w:r>
      <w:r w:rsidRPr="005A6E25">
        <w:rPr>
          <w:kern w:val="0"/>
          <w:sz w:val="24"/>
        </w:rPr>
        <w:t xml:space="preserve"> shown in </w:t>
      </w:r>
      <w:r>
        <w:rPr>
          <w:kern w:val="0"/>
          <w:sz w:val="24"/>
        </w:rPr>
        <w:t xml:space="preserve">Table </w:t>
      </w:r>
      <w:r w:rsidR="008A77C4">
        <w:rPr>
          <w:kern w:val="0"/>
          <w:sz w:val="24"/>
        </w:rPr>
        <w:t>1</w:t>
      </w:r>
      <w:r w:rsidRPr="00A851CB">
        <w:rPr>
          <w:kern w:val="0"/>
          <w:sz w:val="24"/>
        </w:rPr>
        <w:t>. A</w:t>
      </w:r>
      <w:r>
        <w:rPr>
          <w:kern w:val="0"/>
          <w:sz w:val="24"/>
        </w:rPr>
        <w:t>ll host plant</w:t>
      </w:r>
      <w:r w:rsidRPr="00A851CB">
        <w:rPr>
          <w:kern w:val="0"/>
          <w:sz w:val="24"/>
        </w:rPr>
        <w:t xml:space="preserve"> and distribution information of these two species were collected from</w:t>
      </w:r>
      <w:r>
        <w:rPr>
          <w:kern w:val="0"/>
          <w:sz w:val="24"/>
        </w:rPr>
        <w:t xml:space="preserve"> the literature (Shinji 1935; </w:t>
      </w:r>
      <w:proofErr w:type="spellStart"/>
      <w:r>
        <w:rPr>
          <w:kern w:val="0"/>
          <w:sz w:val="24"/>
        </w:rPr>
        <w:t>Xie</w:t>
      </w:r>
      <w:proofErr w:type="spellEnd"/>
      <w:r>
        <w:rPr>
          <w:kern w:val="0"/>
          <w:sz w:val="24"/>
        </w:rPr>
        <w:t xml:space="preserve"> 1998; Wang 2001; </w:t>
      </w:r>
      <w:r w:rsidRPr="00A851CB">
        <w:rPr>
          <w:kern w:val="0"/>
          <w:sz w:val="24"/>
        </w:rPr>
        <w:t xml:space="preserve">Wang </w:t>
      </w:r>
      <w:r w:rsidRPr="00F32CB2">
        <w:rPr>
          <w:i/>
          <w:kern w:val="0"/>
          <w:sz w:val="24"/>
        </w:rPr>
        <w:t>et al.</w:t>
      </w:r>
      <w:r w:rsidRPr="00A851CB">
        <w:rPr>
          <w:kern w:val="0"/>
          <w:sz w:val="24"/>
        </w:rPr>
        <w:t xml:space="preserve"> 201</w:t>
      </w:r>
      <w:r>
        <w:rPr>
          <w:kern w:val="0"/>
          <w:sz w:val="24"/>
        </w:rPr>
        <w:t>3)</w:t>
      </w:r>
      <w:r w:rsidRPr="00A851CB">
        <w:rPr>
          <w:kern w:val="0"/>
          <w:sz w:val="24"/>
        </w:rPr>
        <w:t xml:space="preserve"> and </w:t>
      </w:r>
      <w:r>
        <w:rPr>
          <w:kern w:val="0"/>
          <w:sz w:val="24"/>
        </w:rPr>
        <w:t xml:space="preserve">from </w:t>
      </w:r>
      <w:r w:rsidRPr="00A851CB">
        <w:rPr>
          <w:kern w:val="0"/>
          <w:sz w:val="24"/>
        </w:rPr>
        <w:t>our field surveys.</w:t>
      </w:r>
      <w:bookmarkStart w:id="20" w:name="d7157e1674"/>
      <w:bookmarkEnd w:id="20"/>
    </w:p>
    <w:p w14:paraId="453981BC" w14:textId="77777777" w:rsidR="009C15D7" w:rsidRDefault="009C15D7" w:rsidP="00421D6B">
      <w:pPr>
        <w:spacing w:line="480" w:lineRule="auto"/>
        <w:rPr>
          <w:kern w:val="0"/>
          <w:sz w:val="24"/>
        </w:rPr>
      </w:pPr>
    </w:p>
    <w:p w14:paraId="4A32F32C" w14:textId="77777777" w:rsidR="009C15D7" w:rsidRPr="003515C5" w:rsidRDefault="003515C5" w:rsidP="00131F13">
      <w:pPr>
        <w:autoSpaceDE w:val="0"/>
        <w:autoSpaceDN w:val="0"/>
        <w:adjustRightInd w:val="0"/>
        <w:spacing w:line="480" w:lineRule="auto"/>
        <w:jc w:val="center"/>
        <w:rPr>
          <w:b/>
          <w:kern w:val="0"/>
          <w:sz w:val="24"/>
        </w:rPr>
      </w:pPr>
      <w:r>
        <w:rPr>
          <w:b/>
          <w:kern w:val="0"/>
          <w:sz w:val="24"/>
        </w:rPr>
        <w:t>References</w:t>
      </w:r>
    </w:p>
    <w:p w14:paraId="0E0A4BF9" w14:textId="66214617" w:rsidR="002D0845" w:rsidRPr="00A74208" w:rsidRDefault="002D0845" w:rsidP="002D0845">
      <w:pPr>
        <w:pStyle w:val="EndNoteBibliography"/>
        <w:spacing w:line="480" w:lineRule="auto"/>
        <w:ind w:leftChars="1" w:left="511" w:hangingChars="212" w:hanging="509"/>
        <w:rPr>
          <w:rFonts w:ascii="Times New Roman" w:hAnsi="Times New Roman" w:cs="Times New Roman"/>
          <w:sz w:val="24"/>
        </w:rPr>
      </w:pPr>
      <w:r w:rsidRPr="00A74208">
        <w:rPr>
          <w:rFonts w:ascii="Times New Roman" w:hAnsi="Times New Roman" w:cs="Times New Roman"/>
          <w:sz w:val="24"/>
        </w:rPr>
        <w:t xml:space="preserve">Hall, T.A. </w:t>
      </w:r>
      <w:r w:rsidRPr="00A74208">
        <w:rPr>
          <w:rFonts w:ascii="Times New Roman" w:hAnsi="Times New Roman" w:cs="Times New Roman"/>
          <w:sz w:val="24"/>
          <w:lang w:eastAsia="zh-CN"/>
        </w:rPr>
        <w:t>1999</w:t>
      </w:r>
      <w:r w:rsidRPr="00A7420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74208">
        <w:rPr>
          <w:rFonts w:ascii="Times New Roman" w:hAnsi="Times New Roman" w:cs="Times New Roman"/>
          <w:sz w:val="24"/>
        </w:rPr>
        <w:t>BioEdit</w:t>
      </w:r>
      <w:proofErr w:type="spellEnd"/>
      <w:r w:rsidRPr="00A74208">
        <w:rPr>
          <w:rFonts w:ascii="Times New Roman" w:hAnsi="Times New Roman" w:cs="Times New Roman"/>
          <w:sz w:val="24"/>
        </w:rPr>
        <w:t xml:space="preserve">: a user-friendly biological sequence alignment editor and analysis program for Windows 95/98/NT. </w:t>
      </w:r>
      <w:proofErr w:type="gramStart"/>
      <w:r w:rsidRPr="00A74208">
        <w:rPr>
          <w:rFonts w:ascii="Times New Roman" w:hAnsi="Times New Roman" w:cs="Times New Roman"/>
          <w:sz w:val="24"/>
        </w:rPr>
        <w:t>Proceedings of the Nucleic Acids Symposium Series</w:t>
      </w:r>
      <w:r w:rsidR="001C1575">
        <w:rPr>
          <w:rFonts w:ascii="Times New Roman" w:hAnsi="Times New Roman" w:cs="Times New Roman"/>
          <w:sz w:val="24"/>
          <w:lang w:eastAsia="zh-CN"/>
        </w:rPr>
        <w:t xml:space="preserve">, </w:t>
      </w:r>
      <w:r w:rsidR="001C1575" w:rsidRPr="00892E7C">
        <w:rPr>
          <w:rFonts w:ascii="Times New Roman" w:hAnsi="Times New Roman" w:cs="Times New Roman"/>
          <w:b/>
          <w:sz w:val="24"/>
          <w:lang w:eastAsia="zh-CN"/>
        </w:rPr>
        <w:t>41</w:t>
      </w:r>
      <w:r w:rsidR="001C1575">
        <w:rPr>
          <w:rFonts w:ascii="Times New Roman" w:hAnsi="Times New Roman" w:cs="Times New Roman"/>
          <w:sz w:val="24"/>
          <w:lang w:eastAsia="zh-CN"/>
        </w:rPr>
        <w:t>:</w:t>
      </w:r>
      <w:r w:rsidRPr="002241DE">
        <w:rPr>
          <w:rFonts w:ascii="Times New Roman" w:hAnsi="Times New Roman" w:cs="Times New Roman"/>
          <w:sz w:val="24"/>
        </w:rPr>
        <w:t xml:space="preserve"> 95</w:t>
      </w:r>
      <w:r>
        <w:rPr>
          <w:rFonts w:ascii="Times New Roman" w:hAnsi="Times New Roman" w:cs="Times New Roman"/>
          <w:sz w:val="24"/>
        </w:rPr>
        <w:t>–</w:t>
      </w:r>
      <w:r w:rsidRPr="002241DE">
        <w:rPr>
          <w:rFonts w:ascii="Times New Roman" w:hAnsi="Times New Roman" w:cs="Times New Roman"/>
          <w:sz w:val="24"/>
        </w:rPr>
        <w:t>98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14:paraId="74254835" w14:textId="77777777" w:rsidR="002D0845" w:rsidRPr="00161A29" w:rsidRDefault="002D0845" w:rsidP="002D0845">
      <w:pPr>
        <w:pStyle w:val="EndNoteBibliography"/>
        <w:spacing w:line="480" w:lineRule="auto"/>
        <w:ind w:leftChars="1" w:left="511" w:hangingChars="212" w:hanging="509"/>
        <w:rPr>
          <w:rFonts w:ascii="Times New Roman" w:hAnsi="Times New Roman" w:cs="Times New Roman"/>
          <w:kern w:val="0"/>
          <w:sz w:val="24"/>
          <w:lang w:eastAsia="zh-CN"/>
        </w:rPr>
      </w:pPr>
      <w:r w:rsidRPr="00161A29">
        <w:rPr>
          <w:rFonts w:ascii="Times New Roman" w:hAnsi="Times New Roman" w:cs="Times New Roman"/>
          <w:kern w:val="0"/>
          <w:sz w:val="24"/>
          <w:lang w:eastAsia="zh-CN"/>
        </w:rPr>
        <w:t xml:space="preserve">Kimura, M. 1980. A simple method for estimating evolutionary rate of base substitutions through comparative studies of nucleotide sequences. Journal of Molecular Evolution, </w:t>
      </w:r>
      <w:r w:rsidRPr="00E86CA7">
        <w:rPr>
          <w:rFonts w:ascii="Times New Roman" w:hAnsi="Times New Roman" w:cs="Times New Roman"/>
          <w:b/>
          <w:kern w:val="0"/>
          <w:sz w:val="24"/>
          <w:lang w:eastAsia="zh-CN"/>
        </w:rPr>
        <w:t>16</w:t>
      </w:r>
      <w:r w:rsidRPr="00161A29">
        <w:rPr>
          <w:rFonts w:ascii="Times New Roman" w:hAnsi="Times New Roman" w:cs="Times New Roman"/>
          <w:kern w:val="0"/>
          <w:sz w:val="24"/>
          <w:lang w:eastAsia="zh-CN"/>
        </w:rPr>
        <w:t>:</w:t>
      </w:r>
      <w:r>
        <w:rPr>
          <w:rFonts w:ascii="Times New Roman" w:hAnsi="Times New Roman" w:cs="Times New Roman"/>
          <w:kern w:val="0"/>
          <w:sz w:val="24"/>
          <w:lang w:eastAsia="zh-CN"/>
        </w:rPr>
        <w:t xml:space="preserve"> </w:t>
      </w:r>
      <w:r w:rsidRPr="00161A29">
        <w:rPr>
          <w:rFonts w:ascii="Times New Roman" w:hAnsi="Times New Roman" w:cs="Times New Roman"/>
          <w:kern w:val="0"/>
          <w:sz w:val="24"/>
          <w:lang w:eastAsia="zh-CN"/>
        </w:rPr>
        <w:t>111</w:t>
      </w:r>
      <w:r>
        <w:rPr>
          <w:rFonts w:ascii="Times New Roman" w:hAnsi="Times New Roman" w:cs="Times New Roman"/>
          <w:kern w:val="0"/>
          <w:sz w:val="24"/>
          <w:lang w:eastAsia="zh-CN"/>
        </w:rPr>
        <w:t>–</w:t>
      </w:r>
      <w:r w:rsidRPr="00161A29">
        <w:rPr>
          <w:rFonts w:ascii="Times New Roman" w:hAnsi="Times New Roman" w:cs="Times New Roman"/>
          <w:kern w:val="0"/>
          <w:sz w:val="24"/>
          <w:lang w:eastAsia="zh-CN"/>
        </w:rPr>
        <w:t>120.</w:t>
      </w:r>
    </w:p>
    <w:p w14:paraId="39C783E1" w14:textId="258AE043" w:rsidR="002D0845" w:rsidRPr="00CA4604" w:rsidRDefault="002D0845" w:rsidP="002D0845">
      <w:pPr>
        <w:pStyle w:val="EndNoteBibliography"/>
        <w:spacing w:line="480" w:lineRule="auto"/>
        <w:ind w:leftChars="1" w:left="511" w:hangingChars="212" w:hanging="509"/>
        <w:rPr>
          <w:rFonts w:ascii="Times New Roman" w:hAnsi="Times New Roman" w:cs="Times New Roman"/>
          <w:sz w:val="24"/>
        </w:rPr>
      </w:pPr>
      <w:r w:rsidRPr="00CA4604">
        <w:rPr>
          <w:rFonts w:ascii="Times New Roman" w:hAnsi="Times New Roman" w:cs="Times New Roman"/>
          <w:sz w:val="24"/>
        </w:rPr>
        <w:t xml:space="preserve">Liu, G.F. and Liu, Y.P. </w:t>
      </w:r>
      <w:r w:rsidR="0047606C" w:rsidRPr="00CA4604">
        <w:rPr>
          <w:rFonts w:ascii="Times New Roman" w:hAnsi="Times New Roman" w:cs="Times New Roman"/>
          <w:sz w:val="24"/>
        </w:rPr>
        <w:t>200</w:t>
      </w:r>
      <w:r w:rsidR="0047606C">
        <w:rPr>
          <w:rFonts w:ascii="Times New Roman" w:hAnsi="Times New Roman" w:cs="Times New Roman"/>
          <w:sz w:val="24"/>
        </w:rPr>
        <w:t>5</w:t>
      </w:r>
      <w:r w:rsidRPr="00CA4604">
        <w:rPr>
          <w:rFonts w:ascii="Times New Roman" w:hAnsi="Times New Roman" w:cs="Times New Roman"/>
          <w:sz w:val="24"/>
        </w:rPr>
        <w:t>.</w:t>
      </w:r>
      <w:r w:rsidRPr="00BC6CB6">
        <w:rPr>
          <w:rFonts w:ascii="Times New Roman" w:hAnsi="Times New Roman" w:cs="Times New Roman"/>
          <w:sz w:val="24"/>
        </w:rPr>
        <w:t xml:space="preserve"> The biological characteristics and prevention of scale insects. Chinese Agricultural Science Bulletin, </w:t>
      </w:r>
      <w:r w:rsidRPr="00F45710">
        <w:rPr>
          <w:rFonts w:ascii="Times New Roman" w:hAnsi="Times New Roman" w:cs="Times New Roman"/>
          <w:b/>
          <w:sz w:val="24"/>
        </w:rPr>
        <w:t>21</w:t>
      </w:r>
      <w:r w:rsidRPr="00CA4604">
        <w:rPr>
          <w:rFonts w:ascii="Times New Roman" w:hAnsi="Times New Roman" w:cs="Times New Roman"/>
          <w:sz w:val="24"/>
        </w:rPr>
        <w:t>: 349</w:t>
      </w:r>
      <w:r>
        <w:rPr>
          <w:rFonts w:ascii="Times New Roman" w:hAnsi="Times New Roman" w:cs="Times New Roman"/>
          <w:sz w:val="24"/>
        </w:rPr>
        <w:t>–</w:t>
      </w:r>
      <w:r w:rsidRPr="00CA4604">
        <w:rPr>
          <w:rFonts w:ascii="Times New Roman" w:hAnsi="Times New Roman" w:cs="Times New Roman"/>
          <w:sz w:val="24"/>
        </w:rPr>
        <w:t>351.</w:t>
      </w:r>
    </w:p>
    <w:p w14:paraId="7FEF8323" w14:textId="77777777" w:rsidR="002D0845" w:rsidRPr="00BA44FE" w:rsidRDefault="002D0845" w:rsidP="002D0845">
      <w:pPr>
        <w:pStyle w:val="EndNoteBibliography"/>
        <w:spacing w:line="480" w:lineRule="auto"/>
        <w:ind w:leftChars="1" w:left="511" w:hangingChars="212" w:hanging="509"/>
        <w:rPr>
          <w:rFonts w:ascii="Times New Roman" w:hAnsi="Times New Roman" w:cs="Times New Roman"/>
          <w:sz w:val="24"/>
        </w:rPr>
      </w:pPr>
      <w:r w:rsidRPr="00BA44FE">
        <w:rPr>
          <w:rFonts w:ascii="Times New Roman" w:hAnsi="Times New Roman" w:cs="Times New Roman"/>
          <w:sz w:val="24"/>
        </w:rPr>
        <w:t xml:space="preserve">Meier, R., </w:t>
      </w:r>
      <w:proofErr w:type="spellStart"/>
      <w:r w:rsidRPr="00BA44FE">
        <w:rPr>
          <w:rFonts w:ascii="Times New Roman" w:hAnsi="Times New Roman" w:cs="Times New Roman"/>
          <w:sz w:val="24"/>
        </w:rPr>
        <w:t>Shiyang</w:t>
      </w:r>
      <w:proofErr w:type="spellEnd"/>
      <w:r w:rsidRPr="00BA44FE">
        <w:rPr>
          <w:rFonts w:ascii="Times New Roman" w:hAnsi="Times New Roman" w:cs="Times New Roman"/>
          <w:sz w:val="24"/>
        </w:rPr>
        <w:t xml:space="preserve">, K., Vaidya, G., and Ng, P.K.L. 2006. DNA barcoding and taxonomy in </w:t>
      </w:r>
      <w:proofErr w:type="spellStart"/>
      <w:r w:rsidRPr="00BA44FE">
        <w:rPr>
          <w:rFonts w:ascii="Times New Roman" w:hAnsi="Times New Roman" w:cs="Times New Roman"/>
          <w:sz w:val="24"/>
        </w:rPr>
        <w:t>Diptera</w:t>
      </w:r>
      <w:proofErr w:type="spellEnd"/>
      <w:r w:rsidRPr="00BA44FE">
        <w:rPr>
          <w:rFonts w:ascii="Times New Roman" w:hAnsi="Times New Roman" w:cs="Times New Roman"/>
          <w:sz w:val="24"/>
        </w:rPr>
        <w:t xml:space="preserve">: a tale of high intraspecific variability and low identification success. Systematic Biology, </w:t>
      </w:r>
      <w:r w:rsidRPr="00EF5D79">
        <w:rPr>
          <w:rFonts w:ascii="Times New Roman" w:hAnsi="Times New Roman" w:cs="Times New Roman"/>
          <w:b/>
          <w:sz w:val="24"/>
        </w:rPr>
        <w:t>55</w:t>
      </w:r>
      <w:r w:rsidRPr="00BA44FE">
        <w:rPr>
          <w:rFonts w:ascii="Times New Roman" w:hAnsi="Times New Roman" w:cs="Times New Roman"/>
          <w:sz w:val="24"/>
        </w:rPr>
        <w:t>: 715</w:t>
      </w:r>
      <w:r>
        <w:rPr>
          <w:rFonts w:ascii="Times New Roman" w:hAnsi="Times New Roman" w:cs="Times New Roman"/>
          <w:sz w:val="24"/>
        </w:rPr>
        <w:t>–</w:t>
      </w:r>
      <w:r w:rsidRPr="00BA44FE">
        <w:rPr>
          <w:rFonts w:ascii="Times New Roman" w:hAnsi="Times New Roman" w:cs="Times New Roman"/>
          <w:sz w:val="24"/>
        </w:rPr>
        <w:t>728.</w:t>
      </w:r>
    </w:p>
    <w:p w14:paraId="1C617C76" w14:textId="77777777" w:rsidR="002D0845" w:rsidRPr="00161A29" w:rsidRDefault="002D0845" w:rsidP="002D0845">
      <w:pPr>
        <w:pStyle w:val="EndNoteBibliography"/>
        <w:spacing w:line="480" w:lineRule="auto"/>
        <w:ind w:leftChars="1" w:left="511" w:hangingChars="212" w:hanging="509"/>
        <w:rPr>
          <w:rFonts w:ascii="Times New Roman" w:hAnsi="Times New Roman" w:cs="Times New Roman"/>
          <w:sz w:val="24"/>
        </w:rPr>
      </w:pPr>
      <w:r w:rsidRPr="00161A29">
        <w:rPr>
          <w:rFonts w:ascii="Times New Roman" w:hAnsi="Times New Roman" w:cs="Times New Roman"/>
          <w:sz w:val="24"/>
        </w:rPr>
        <w:t xml:space="preserve">Saitou, N. and </w:t>
      </w:r>
      <w:proofErr w:type="spellStart"/>
      <w:r w:rsidRPr="00161A29">
        <w:rPr>
          <w:rFonts w:ascii="Times New Roman" w:hAnsi="Times New Roman" w:cs="Times New Roman"/>
          <w:sz w:val="24"/>
        </w:rPr>
        <w:t>Nei</w:t>
      </w:r>
      <w:proofErr w:type="spellEnd"/>
      <w:r w:rsidRPr="00161A29">
        <w:rPr>
          <w:rFonts w:ascii="Times New Roman" w:hAnsi="Times New Roman" w:cs="Times New Roman"/>
          <w:sz w:val="24"/>
        </w:rPr>
        <w:t xml:space="preserve">, M. 1987. The neighbor-joining method: a new method for reconstructing phylogenetic trees. Molecular Biology and Evolution, </w:t>
      </w:r>
      <w:r w:rsidRPr="006E3B8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:</w:t>
      </w:r>
      <w:r w:rsidRPr="00161A29">
        <w:rPr>
          <w:rFonts w:ascii="Times New Roman" w:hAnsi="Times New Roman" w:cs="Times New Roman"/>
          <w:sz w:val="24"/>
        </w:rPr>
        <w:t xml:space="preserve"> 406</w:t>
      </w:r>
      <w:r>
        <w:rPr>
          <w:rFonts w:ascii="Times New Roman" w:hAnsi="Times New Roman" w:cs="Times New Roman"/>
          <w:sz w:val="24"/>
        </w:rPr>
        <w:t>–</w:t>
      </w:r>
      <w:r w:rsidRPr="00161A29">
        <w:rPr>
          <w:rFonts w:ascii="Times New Roman" w:hAnsi="Times New Roman" w:cs="Times New Roman"/>
          <w:sz w:val="24"/>
        </w:rPr>
        <w:t>425.</w:t>
      </w:r>
    </w:p>
    <w:p w14:paraId="1FA7ABB7" w14:textId="4DFF1595" w:rsidR="009C15D7" w:rsidRPr="008E3A87" w:rsidRDefault="009C15D7" w:rsidP="009C15D7">
      <w:pPr>
        <w:pStyle w:val="EndNoteBibliography"/>
        <w:spacing w:line="480" w:lineRule="auto"/>
        <w:ind w:leftChars="1" w:left="511" w:hangingChars="212" w:hanging="509"/>
        <w:rPr>
          <w:rFonts w:ascii="Times New Roman" w:hAnsi="Times New Roman" w:cs="Times New Roman"/>
          <w:sz w:val="24"/>
        </w:rPr>
      </w:pPr>
      <w:r w:rsidRPr="008E3A87">
        <w:rPr>
          <w:rFonts w:ascii="Times New Roman" w:hAnsi="Times New Roman" w:cs="Times New Roman"/>
          <w:sz w:val="24"/>
        </w:rPr>
        <w:lastRenderedPageBreak/>
        <w:t xml:space="preserve">Shen, S.Y. and </w:t>
      </w:r>
      <w:proofErr w:type="spellStart"/>
      <w:r w:rsidRPr="008E3A87">
        <w:rPr>
          <w:rFonts w:ascii="Times New Roman" w:hAnsi="Times New Roman" w:cs="Times New Roman"/>
          <w:sz w:val="24"/>
        </w:rPr>
        <w:t>Xie</w:t>
      </w:r>
      <w:proofErr w:type="spellEnd"/>
      <w:r w:rsidRPr="008E3A87">
        <w:rPr>
          <w:rFonts w:ascii="Times New Roman" w:hAnsi="Times New Roman" w:cs="Times New Roman"/>
          <w:sz w:val="24"/>
        </w:rPr>
        <w:t xml:space="preserve">, X.X. 1990. Study on the bionomics of </w:t>
      </w:r>
      <w:proofErr w:type="spellStart"/>
      <w:r w:rsidRPr="008E3A87">
        <w:rPr>
          <w:rFonts w:ascii="Times New Roman" w:hAnsi="Times New Roman" w:cs="Times New Roman"/>
          <w:i/>
          <w:sz w:val="24"/>
        </w:rPr>
        <w:t>Beijinga</w:t>
      </w:r>
      <w:proofErr w:type="spellEnd"/>
      <w:r w:rsidRPr="008E3A8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E3A87">
        <w:rPr>
          <w:rFonts w:ascii="Times New Roman" w:hAnsi="Times New Roman" w:cs="Times New Roman"/>
          <w:i/>
          <w:sz w:val="24"/>
        </w:rPr>
        <w:t>utila</w:t>
      </w:r>
      <w:proofErr w:type="spellEnd"/>
      <w:r w:rsidRPr="008E3A87">
        <w:rPr>
          <w:rFonts w:ascii="Times New Roman" w:hAnsi="Times New Roman" w:cs="Times New Roman"/>
          <w:sz w:val="24"/>
        </w:rPr>
        <w:t xml:space="preserve"> Yang, an important natural enemy of scale insects belonging to </w:t>
      </w:r>
      <w:proofErr w:type="spellStart"/>
      <w:r w:rsidRPr="00CA4604">
        <w:rPr>
          <w:rFonts w:ascii="Times New Roman" w:hAnsi="Times New Roman" w:cs="Times New Roman"/>
          <w:i/>
          <w:sz w:val="24"/>
        </w:rPr>
        <w:t>Eulecanium</w:t>
      </w:r>
      <w:proofErr w:type="spellEnd"/>
      <w:r w:rsidRPr="00CA4604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Pr="00CA4604">
        <w:rPr>
          <w:rFonts w:ascii="Times New Roman" w:hAnsi="Times New Roman" w:cs="Times New Roman"/>
          <w:sz w:val="24"/>
        </w:rPr>
        <w:t>Scientia</w:t>
      </w:r>
      <w:proofErr w:type="spellEnd"/>
      <w:r w:rsidRPr="00CA4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604">
        <w:rPr>
          <w:rFonts w:ascii="Times New Roman" w:hAnsi="Times New Roman" w:cs="Times New Roman"/>
          <w:sz w:val="24"/>
        </w:rPr>
        <w:t>Silvae</w:t>
      </w:r>
      <w:proofErr w:type="spellEnd"/>
      <w:r w:rsidRPr="00CA46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A4604">
        <w:rPr>
          <w:rFonts w:ascii="Times New Roman" w:hAnsi="Times New Roman" w:cs="Times New Roman"/>
          <w:sz w:val="24"/>
        </w:rPr>
        <w:t>Sinicae</w:t>
      </w:r>
      <w:proofErr w:type="spellEnd"/>
      <w:r w:rsidRPr="00CA4604">
        <w:rPr>
          <w:rFonts w:ascii="Times New Roman" w:hAnsi="Times New Roman" w:cs="Times New Roman"/>
          <w:sz w:val="24"/>
        </w:rPr>
        <w:t xml:space="preserve">, </w:t>
      </w:r>
      <w:r w:rsidR="008F6446">
        <w:rPr>
          <w:rFonts w:ascii="Times New Roman" w:hAnsi="Times New Roman" w:cs="Times New Roman"/>
          <w:b/>
          <w:sz w:val="24"/>
        </w:rPr>
        <w:t>26</w:t>
      </w:r>
      <w:r w:rsidRPr="008E3A87">
        <w:rPr>
          <w:rFonts w:ascii="Times New Roman" w:hAnsi="Times New Roman" w:cs="Times New Roman"/>
          <w:sz w:val="24"/>
        </w:rPr>
        <w:t xml:space="preserve">: </w:t>
      </w:r>
      <w:r w:rsidR="008F6446">
        <w:rPr>
          <w:rFonts w:ascii="Times New Roman" w:hAnsi="Times New Roman" w:cs="Times New Roman"/>
          <w:sz w:val="24"/>
        </w:rPr>
        <w:t>30–38</w:t>
      </w:r>
      <w:r w:rsidRPr="008E3A87">
        <w:rPr>
          <w:rFonts w:ascii="Times New Roman" w:hAnsi="Times New Roman" w:cs="Times New Roman"/>
          <w:sz w:val="24"/>
        </w:rPr>
        <w:t>.</w:t>
      </w:r>
      <w:proofErr w:type="gramEnd"/>
    </w:p>
    <w:p w14:paraId="2539BC22" w14:textId="77777777" w:rsidR="002D0845" w:rsidRPr="00161A29" w:rsidRDefault="002D0845" w:rsidP="002D0845">
      <w:pPr>
        <w:pStyle w:val="EndNoteBibliography"/>
        <w:spacing w:line="480" w:lineRule="auto"/>
        <w:ind w:leftChars="1" w:left="511" w:hangingChars="212" w:hanging="509"/>
        <w:rPr>
          <w:rFonts w:ascii="Times New Roman" w:hAnsi="Times New Roman" w:cs="Times New Roman"/>
          <w:sz w:val="24"/>
        </w:rPr>
      </w:pPr>
      <w:r w:rsidRPr="00161A29">
        <w:rPr>
          <w:rFonts w:ascii="Times New Roman" w:hAnsi="Times New Roman" w:cs="Times New Roman"/>
          <w:sz w:val="24"/>
        </w:rPr>
        <w:t xml:space="preserve">Tamura, K., Dudley, J., </w:t>
      </w:r>
      <w:proofErr w:type="spellStart"/>
      <w:r w:rsidRPr="00161A29">
        <w:rPr>
          <w:rFonts w:ascii="Times New Roman" w:hAnsi="Times New Roman" w:cs="Times New Roman"/>
          <w:sz w:val="24"/>
        </w:rPr>
        <w:t>Nei</w:t>
      </w:r>
      <w:proofErr w:type="spellEnd"/>
      <w:r w:rsidRPr="00161A29">
        <w:rPr>
          <w:rFonts w:ascii="Times New Roman" w:hAnsi="Times New Roman" w:cs="Times New Roman"/>
          <w:sz w:val="24"/>
        </w:rPr>
        <w:t xml:space="preserve">, M., and Kumar, S. 2007. MEGA4: molecular evolutionary genetics analysis (MEGA) software version 4.0. Molecular Biology and Evolution, </w:t>
      </w:r>
      <w:r w:rsidRPr="00D85475">
        <w:rPr>
          <w:rFonts w:ascii="Times New Roman" w:hAnsi="Times New Roman" w:cs="Times New Roman"/>
          <w:b/>
          <w:sz w:val="24"/>
        </w:rPr>
        <w:t>24</w:t>
      </w:r>
      <w:r w:rsidRPr="00161A29">
        <w:rPr>
          <w:rFonts w:ascii="Times New Roman" w:hAnsi="Times New Roman" w:cs="Times New Roman"/>
          <w:sz w:val="24"/>
        </w:rPr>
        <w:t>: 1596</w:t>
      </w:r>
      <w:r>
        <w:rPr>
          <w:rFonts w:ascii="Times New Roman" w:hAnsi="Times New Roman" w:cs="Times New Roman"/>
          <w:sz w:val="24"/>
        </w:rPr>
        <w:t>–</w:t>
      </w:r>
      <w:r w:rsidRPr="00161A29">
        <w:rPr>
          <w:rFonts w:ascii="Times New Roman" w:hAnsi="Times New Roman" w:cs="Times New Roman"/>
          <w:sz w:val="24"/>
        </w:rPr>
        <w:t>1599.</w:t>
      </w:r>
    </w:p>
    <w:p w14:paraId="4B7DAFCC" w14:textId="77777777" w:rsidR="002D0845" w:rsidRPr="005073D6" w:rsidRDefault="002D0845" w:rsidP="002D0845">
      <w:pPr>
        <w:autoSpaceDE w:val="0"/>
        <w:autoSpaceDN w:val="0"/>
        <w:adjustRightInd w:val="0"/>
        <w:spacing w:line="480" w:lineRule="auto"/>
        <w:ind w:leftChars="1" w:left="511" w:hangingChars="212" w:hanging="509"/>
        <w:rPr>
          <w:kern w:val="0"/>
          <w:sz w:val="24"/>
        </w:rPr>
      </w:pPr>
      <w:r w:rsidRPr="00BA44FE">
        <w:rPr>
          <w:kern w:val="0"/>
          <w:sz w:val="24"/>
        </w:rPr>
        <w:t xml:space="preserve">Wang, L., Wang, D.Y., and Yu, J.N. 2013. Preliminary prediction of potential geographic distribution areas for </w:t>
      </w:r>
      <w:proofErr w:type="spellStart"/>
      <w:r w:rsidRPr="00B0422A">
        <w:rPr>
          <w:i/>
          <w:kern w:val="0"/>
          <w:sz w:val="24"/>
        </w:rPr>
        <w:t>Eulecanium</w:t>
      </w:r>
      <w:proofErr w:type="spellEnd"/>
      <w:r w:rsidRPr="00B0422A">
        <w:rPr>
          <w:i/>
          <w:kern w:val="0"/>
          <w:sz w:val="24"/>
        </w:rPr>
        <w:t xml:space="preserve"> </w:t>
      </w:r>
      <w:proofErr w:type="spellStart"/>
      <w:r w:rsidRPr="00B0422A">
        <w:rPr>
          <w:i/>
          <w:kern w:val="0"/>
          <w:sz w:val="24"/>
        </w:rPr>
        <w:t>giganteum</w:t>
      </w:r>
      <w:proofErr w:type="spellEnd"/>
      <w:r w:rsidRPr="00BA44FE">
        <w:rPr>
          <w:kern w:val="0"/>
          <w:sz w:val="24"/>
        </w:rPr>
        <w:t xml:space="preserve"> in Xinjiang using GARP modeling system. Xinjiang Agricultural Science, </w:t>
      </w:r>
      <w:r w:rsidRPr="00B0422A">
        <w:rPr>
          <w:b/>
          <w:kern w:val="0"/>
          <w:sz w:val="24"/>
        </w:rPr>
        <w:t>50</w:t>
      </w:r>
      <w:r w:rsidRPr="00BA44FE">
        <w:rPr>
          <w:kern w:val="0"/>
          <w:sz w:val="24"/>
        </w:rPr>
        <w:t>: 2246</w:t>
      </w:r>
      <w:r>
        <w:rPr>
          <w:kern w:val="0"/>
          <w:sz w:val="24"/>
        </w:rPr>
        <w:t>–</w:t>
      </w:r>
      <w:r w:rsidRPr="00BA44FE">
        <w:rPr>
          <w:kern w:val="0"/>
          <w:sz w:val="24"/>
        </w:rPr>
        <w:t>2253.</w:t>
      </w:r>
    </w:p>
    <w:p w14:paraId="7596DC62" w14:textId="34E4E695" w:rsidR="00D71233" w:rsidRPr="00284445" w:rsidRDefault="00D71233" w:rsidP="00D71233">
      <w:pPr>
        <w:pStyle w:val="EndNoteBibliography"/>
        <w:spacing w:line="480" w:lineRule="auto"/>
        <w:ind w:leftChars="1" w:left="511" w:hangingChars="212" w:hanging="509"/>
        <w:rPr>
          <w:rFonts w:ascii="Times New Roman" w:hAnsi="Times New Roman" w:cs="Times New Roman"/>
          <w:sz w:val="24"/>
          <w:lang w:eastAsia="zh-CN"/>
        </w:rPr>
      </w:pPr>
      <w:r w:rsidRPr="00284445">
        <w:rPr>
          <w:rFonts w:ascii="Times New Roman" w:hAnsi="Times New Roman" w:cs="Times New Roman"/>
          <w:sz w:val="24"/>
          <w:lang w:eastAsia="zh-CN"/>
        </w:rPr>
        <w:t xml:space="preserve">Whiting, M.F., Carpenter, J.C., Wheeler, Q.D., and Wheeler, W.C. 1997. The </w:t>
      </w:r>
      <w:proofErr w:type="spellStart"/>
      <w:r w:rsidRPr="00284445">
        <w:rPr>
          <w:rFonts w:ascii="Times New Roman" w:hAnsi="Times New Roman" w:cs="Times New Roman"/>
          <w:sz w:val="24"/>
          <w:lang w:eastAsia="zh-CN"/>
        </w:rPr>
        <w:t>Strepsiptera</w:t>
      </w:r>
      <w:proofErr w:type="spellEnd"/>
      <w:r w:rsidRPr="00284445">
        <w:rPr>
          <w:rFonts w:ascii="Times New Roman" w:hAnsi="Times New Roman" w:cs="Times New Roman"/>
          <w:sz w:val="24"/>
          <w:lang w:eastAsia="zh-CN"/>
        </w:rPr>
        <w:t xml:space="preserve"> problem: phylogeny of the </w:t>
      </w:r>
      <w:proofErr w:type="spellStart"/>
      <w:r w:rsidRPr="00284445">
        <w:rPr>
          <w:rFonts w:ascii="Times New Roman" w:hAnsi="Times New Roman" w:cs="Times New Roman"/>
          <w:sz w:val="24"/>
          <w:lang w:eastAsia="zh-CN"/>
        </w:rPr>
        <w:t>holometabolous</w:t>
      </w:r>
      <w:proofErr w:type="spellEnd"/>
      <w:r w:rsidRPr="00284445">
        <w:rPr>
          <w:rFonts w:ascii="Times New Roman" w:hAnsi="Times New Roman" w:cs="Times New Roman"/>
          <w:sz w:val="24"/>
          <w:lang w:eastAsia="zh-CN"/>
        </w:rPr>
        <w:t xml:space="preserve"> insect orders inferred from 18s and 28s ribosomal DNA sequences and morphology.</w:t>
      </w:r>
      <w:r w:rsidRPr="00284445">
        <w:rPr>
          <w:rFonts w:ascii="Times New Roman" w:hAnsi="Times New Roman" w:cs="Times New Roman"/>
          <w:sz w:val="24"/>
        </w:rPr>
        <w:t xml:space="preserve"> </w:t>
      </w:r>
      <w:r w:rsidRPr="00284445">
        <w:rPr>
          <w:rFonts w:ascii="Times New Roman" w:hAnsi="Times New Roman" w:cs="Times New Roman"/>
          <w:sz w:val="24"/>
          <w:lang w:eastAsia="zh-CN"/>
        </w:rPr>
        <w:t xml:space="preserve">Systematic Biology, </w:t>
      </w:r>
      <w:r w:rsidRPr="00131F13">
        <w:rPr>
          <w:rFonts w:ascii="Times New Roman" w:hAnsi="Times New Roman" w:cs="Times New Roman"/>
          <w:b/>
          <w:sz w:val="24"/>
          <w:lang w:eastAsia="zh-CN"/>
        </w:rPr>
        <w:t>46</w:t>
      </w:r>
      <w:r w:rsidRPr="00284445">
        <w:rPr>
          <w:rFonts w:ascii="Times New Roman" w:hAnsi="Times New Roman" w:cs="Times New Roman"/>
          <w:sz w:val="24"/>
          <w:lang w:eastAsia="zh-CN"/>
        </w:rPr>
        <w:t>: 1</w:t>
      </w:r>
      <w:r w:rsidR="00284445">
        <w:rPr>
          <w:rFonts w:ascii="Times New Roman" w:hAnsi="Times New Roman" w:cs="Times New Roman"/>
          <w:sz w:val="24"/>
          <w:lang w:eastAsia="zh-CN"/>
        </w:rPr>
        <w:t>–</w:t>
      </w:r>
      <w:r w:rsidRPr="00284445">
        <w:rPr>
          <w:rFonts w:ascii="Times New Roman" w:hAnsi="Times New Roman" w:cs="Times New Roman"/>
          <w:sz w:val="24"/>
          <w:lang w:eastAsia="zh-CN"/>
        </w:rPr>
        <w:t>68.</w:t>
      </w:r>
    </w:p>
    <w:p w14:paraId="433C438E" w14:textId="242F9E8B" w:rsidR="00D71233" w:rsidRPr="005073D6" w:rsidRDefault="00D71233" w:rsidP="00131F13">
      <w:pPr>
        <w:autoSpaceDE w:val="0"/>
        <w:autoSpaceDN w:val="0"/>
        <w:adjustRightInd w:val="0"/>
        <w:spacing w:line="480" w:lineRule="auto"/>
        <w:ind w:leftChars="1" w:left="511" w:hangingChars="212" w:hanging="509"/>
        <w:rPr>
          <w:kern w:val="0"/>
          <w:sz w:val="24"/>
        </w:rPr>
      </w:pPr>
    </w:p>
    <w:sectPr w:rsidR="00D71233" w:rsidRPr="005073D6" w:rsidSect="00131F13">
      <w:headerReference w:type="default" r:id="rId8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55A377" w15:done="0"/>
  <w15:commentEx w15:paraId="38555C17" w15:done="0"/>
  <w15:commentEx w15:paraId="0586C34E" w15:done="0"/>
  <w15:commentEx w15:paraId="5A1CC8D8" w15:done="0"/>
  <w15:commentEx w15:paraId="4357C481" w15:done="0"/>
  <w15:commentEx w15:paraId="38BAE1BA" w15:done="0"/>
  <w15:commentEx w15:paraId="0AD4518A" w15:done="0"/>
  <w15:commentEx w15:paraId="3C114688" w15:done="0"/>
  <w15:commentEx w15:paraId="365055A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EF2FE" w14:textId="77777777" w:rsidR="00D07026" w:rsidRDefault="00D07026" w:rsidP="00421D6B">
      <w:r>
        <w:separator/>
      </w:r>
    </w:p>
  </w:endnote>
  <w:endnote w:type="continuationSeparator" w:id="0">
    <w:p w14:paraId="129DF87C" w14:textId="77777777" w:rsidR="00D07026" w:rsidRDefault="00D07026" w:rsidP="0042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69229" w14:textId="77777777" w:rsidR="00D07026" w:rsidRDefault="00D07026" w:rsidP="00421D6B">
      <w:r>
        <w:separator/>
      </w:r>
    </w:p>
  </w:footnote>
  <w:footnote w:type="continuationSeparator" w:id="0">
    <w:p w14:paraId="0F1672E8" w14:textId="77777777" w:rsidR="00D07026" w:rsidRDefault="00D07026" w:rsidP="00421D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CDEE" w14:textId="77777777" w:rsidR="00A74208" w:rsidRPr="003515C5" w:rsidRDefault="00A74208" w:rsidP="003515C5">
    <w:pPr>
      <w:pStyle w:val="Header"/>
      <w:jc w:val="left"/>
      <w:rPr>
        <w:sz w:val="24"/>
        <w:szCs w:val="24"/>
      </w:rPr>
    </w:pPr>
    <w:r w:rsidRPr="00DB07D8">
      <w:rPr>
        <w:sz w:val="24"/>
        <w:szCs w:val="24"/>
      </w:rPr>
      <w:t xml:space="preserve">Deng </w:t>
    </w:r>
    <w:r w:rsidRPr="00DB07D8">
      <w:rPr>
        <w:i/>
        <w:sz w:val="24"/>
        <w:szCs w:val="24"/>
      </w:rPr>
      <w:t xml:space="preserve">et al.   </w:t>
    </w:r>
    <w:r w:rsidRPr="00DB07D8">
      <w:rPr>
        <w:sz w:val="24"/>
        <w:szCs w:val="24"/>
      </w:rPr>
      <w:t xml:space="preserve">                                           </w:t>
    </w:r>
    <w:r>
      <w:rPr>
        <w:sz w:val="24"/>
        <w:szCs w:val="24"/>
      </w:rPr>
      <w:t xml:space="preserve">         </w:t>
    </w:r>
    <w:r w:rsidRPr="00DB07D8">
      <w:rPr>
        <w:sz w:val="24"/>
        <w:szCs w:val="24"/>
      </w:rPr>
      <w:fldChar w:fldCharType="begin"/>
    </w:r>
    <w:r w:rsidRPr="00DB07D8">
      <w:rPr>
        <w:sz w:val="24"/>
        <w:szCs w:val="24"/>
      </w:rPr>
      <w:instrText>PAGE   \* MERGEFORMAT</w:instrText>
    </w:r>
    <w:r w:rsidRPr="00DB07D8">
      <w:rPr>
        <w:sz w:val="24"/>
        <w:szCs w:val="24"/>
      </w:rPr>
      <w:fldChar w:fldCharType="separate"/>
    </w:r>
    <w:r w:rsidR="00892E7C" w:rsidRPr="00892E7C">
      <w:rPr>
        <w:noProof/>
        <w:sz w:val="24"/>
        <w:szCs w:val="24"/>
        <w:lang w:val="zh-CN"/>
      </w:rPr>
      <w:t>1</w:t>
    </w:r>
    <w:r w:rsidRPr="00DB07D8">
      <w:rPr>
        <w:sz w:val="24"/>
        <w:szCs w:val="24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J">
    <w15:presenceInfo w15:providerId="None" w15:userId="D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66"/>
    <w:rsid w:val="00084510"/>
    <w:rsid w:val="001023F7"/>
    <w:rsid w:val="00131F13"/>
    <w:rsid w:val="00161A29"/>
    <w:rsid w:val="001A6030"/>
    <w:rsid w:val="001A7568"/>
    <w:rsid w:val="001C1575"/>
    <w:rsid w:val="00284445"/>
    <w:rsid w:val="002D0845"/>
    <w:rsid w:val="003515C5"/>
    <w:rsid w:val="00421D6B"/>
    <w:rsid w:val="0047606C"/>
    <w:rsid w:val="004B16AF"/>
    <w:rsid w:val="005073D6"/>
    <w:rsid w:val="00555A0C"/>
    <w:rsid w:val="005C66EE"/>
    <w:rsid w:val="00646712"/>
    <w:rsid w:val="00657130"/>
    <w:rsid w:val="006C5B66"/>
    <w:rsid w:val="006F385D"/>
    <w:rsid w:val="007A4ED9"/>
    <w:rsid w:val="00892E7C"/>
    <w:rsid w:val="008A77C4"/>
    <w:rsid w:val="008C230E"/>
    <w:rsid w:val="008E3A87"/>
    <w:rsid w:val="008F6446"/>
    <w:rsid w:val="00984205"/>
    <w:rsid w:val="009C15D7"/>
    <w:rsid w:val="00A74208"/>
    <w:rsid w:val="00AA20BC"/>
    <w:rsid w:val="00B472FD"/>
    <w:rsid w:val="00BA44FE"/>
    <w:rsid w:val="00BA7297"/>
    <w:rsid w:val="00BC6CB6"/>
    <w:rsid w:val="00C06D8D"/>
    <w:rsid w:val="00CA4604"/>
    <w:rsid w:val="00D07026"/>
    <w:rsid w:val="00D71233"/>
    <w:rsid w:val="00DD7E25"/>
    <w:rsid w:val="00DF73B9"/>
    <w:rsid w:val="00E36A11"/>
    <w:rsid w:val="00F05E6E"/>
    <w:rsid w:val="00FC63AC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788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1D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1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1D6B"/>
    <w:rPr>
      <w:sz w:val="18"/>
      <w:szCs w:val="18"/>
    </w:rPr>
  </w:style>
  <w:style w:type="character" w:customStyle="1" w:styleId="EndNoteBibliographyCharChar">
    <w:name w:val="EndNote Bibliography Char Char"/>
    <w:link w:val="EndNoteBibliography"/>
    <w:rsid w:val="009C15D7"/>
    <w:rPr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Char"/>
    <w:rsid w:val="009C15D7"/>
    <w:rPr>
      <w:rFonts w:asciiTheme="minorHAnsi" w:eastAsiaTheme="minorEastAsia" w:hAnsiTheme="minorHAnsi" w:cstheme="minorBid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515C5"/>
  </w:style>
  <w:style w:type="paragraph" w:styleId="BalloonText">
    <w:name w:val="Balloon Text"/>
    <w:basedOn w:val="Normal"/>
    <w:link w:val="BalloonTextChar"/>
    <w:uiPriority w:val="99"/>
    <w:semiHidden/>
    <w:unhideWhenUsed/>
    <w:rsid w:val="00984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05"/>
    <w:rPr>
      <w:rFonts w:ascii="Lucida Grande" w:eastAsia="宋体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3A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A8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A87"/>
    <w:rPr>
      <w:rFonts w:ascii="Times New Roman" w:eastAsia="宋体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A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A87"/>
    <w:rPr>
      <w:rFonts w:ascii="Times New Roman" w:eastAsia="宋体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F1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1D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1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1D6B"/>
    <w:rPr>
      <w:sz w:val="18"/>
      <w:szCs w:val="18"/>
    </w:rPr>
  </w:style>
  <w:style w:type="character" w:customStyle="1" w:styleId="EndNoteBibliographyCharChar">
    <w:name w:val="EndNote Bibliography Char Char"/>
    <w:link w:val="EndNoteBibliography"/>
    <w:rsid w:val="009C15D7"/>
    <w:rPr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Char"/>
    <w:rsid w:val="009C15D7"/>
    <w:rPr>
      <w:rFonts w:asciiTheme="minorHAnsi" w:eastAsiaTheme="minorEastAsia" w:hAnsiTheme="minorHAnsi" w:cstheme="minorBid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3515C5"/>
  </w:style>
  <w:style w:type="paragraph" w:styleId="BalloonText">
    <w:name w:val="Balloon Text"/>
    <w:basedOn w:val="Normal"/>
    <w:link w:val="BalloonTextChar"/>
    <w:uiPriority w:val="99"/>
    <w:semiHidden/>
    <w:unhideWhenUsed/>
    <w:rsid w:val="009842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05"/>
    <w:rPr>
      <w:rFonts w:ascii="Lucida Grande" w:eastAsia="宋体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3A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A8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A87"/>
    <w:rPr>
      <w:rFonts w:ascii="Times New Roman" w:eastAsia="宋体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A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A87"/>
    <w:rPr>
      <w:rFonts w:ascii="Times New Roman" w:eastAsia="宋体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F1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void(0);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1051</Words>
  <Characters>5997</Characters>
  <Application>Microsoft Macintosh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Andrew Smith</cp:lastModifiedBy>
  <cp:revision>2</cp:revision>
  <cp:lastPrinted>2015-05-07T18:08:00Z</cp:lastPrinted>
  <dcterms:created xsi:type="dcterms:W3CDTF">2015-05-08T14:39:00Z</dcterms:created>
  <dcterms:modified xsi:type="dcterms:W3CDTF">2015-05-08T14:39:00Z</dcterms:modified>
</cp:coreProperties>
</file>