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AB" w:rsidRDefault="002875AB" w:rsidP="002875AB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bCs/>
          <w:sz w:val="22"/>
          <w:szCs w:val="22"/>
          <w:lang w:val="en-GB"/>
        </w:rPr>
        <w:t>Supplement table</w:t>
      </w:r>
      <w:r>
        <w:rPr>
          <w:bCs/>
          <w:sz w:val="22"/>
          <w:szCs w:val="22"/>
          <w:lang w:val="en-US"/>
        </w:rPr>
        <w:t xml:space="preserve"> S1:</w:t>
      </w:r>
      <w:r>
        <w:rPr>
          <w:sz w:val="22"/>
          <w:szCs w:val="22"/>
          <w:lang w:val="en-US"/>
        </w:rPr>
        <w:t xml:space="preserve"> Diet composition (g/kg) </w:t>
      </w:r>
      <w:proofErr w:type="gramStart"/>
      <w:r>
        <w:rPr>
          <w:sz w:val="22"/>
          <w:szCs w:val="22"/>
          <w:lang w:val="en-US"/>
        </w:rPr>
        <w:t>on the basis of</w:t>
      </w:r>
      <w:proofErr w:type="gramEnd"/>
      <w:r>
        <w:rPr>
          <w:sz w:val="22"/>
          <w:szCs w:val="22"/>
          <w:lang w:val="en-US"/>
        </w:rPr>
        <w:t xml:space="preserve"> the </w:t>
      </w:r>
      <w:r>
        <w:rPr>
          <w:bCs/>
          <w:sz w:val="22"/>
          <w:szCs w:val="22"/>
          <w:lang w:val="en-US"/>
        </w:rPr>
        <w:t>AIN-93M diet formulation</w:t>
      </w:r>
      <w:r>
        <w:rPr>
          <w:sz w:val="22"/>
          <w:szCs w:val="22"/>
          <w:lang w:val="en-US"/>
        </w:rPr>
        <w:t>.</w:t>
      </w:r>
    </w:p>
    <w:tbl>
      <w:tblPr>
        <w:tblpPr w:leftFromText="141" w:rightFromText="141" w:bottomFromText="200" w:vertAnchor="text" w:horzAnchor="margin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630"/>
        <w:gridCol w:w="1630"/>
      </w:tblGrid>
      <w:tr w:rsidR="002875AB" w:rsidTr="002875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AB" w:rsidRDefault="002875AB">
            <w:pPr>
              <w:spacing w:line="360" w:lineRule="auto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val="en-GB" w:eastAsia="en-US"/>
              </w:rPr>
              <w:t>Ingredient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AB" w:rsidRDefault="002875A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val="en-GB" w:eastAsia="en-US"/>
              </w:rPr>
              <w:t>Control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AB" w:rsidRDefault="002875A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val="en-GB" w:eastAsia="en-US"/>
              </w:rPr>
              <w:t>HFHFR</w:t>
            </w:r>
          </w:p>
        </w:tc>
      </w:tr>
      <w:tr w:rsidR="002875AB" w:rsidTr="002875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AB" w:rsidRDefault="002875AB">
            <w:pPr>
              <w:spacing w:line="360" w:lineRule="auto"/>
              <w:jc w:val="both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Casein</w:t>
            </w:r>
            <w:r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</w:p>
          <w:p w:rsidR="002875AB" w:rsidRDefault="002875AB">
            <w:pPr>
              <w:spacing w:line="360" w:lineRule="auto"/>
              <w:jc w:val="both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Cornstarch</w:t>
            </w:r>
          </w:p>
          <w:p w:rsidR="002875AB" w:rsidRDefault="002875AB">
            <w:pPr>
              <w:spacing w:line="360" w:lineRule="auto"/>
              <w:jc w:val="both"/>
              <w:rPr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Maltodextrine</w:t>
            </w:r>
            <w:proofErr w:type="spellEnd"/>
          </w:p>
          <w:p w:rsidR="002875AB" w:rsidRDefault="002875AB">
            <w:pPr>
              <w:spacing w:line="360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Sucrose</w:t>
            </w:r>
          </w:p>
          <w:p w:rsidR="002875AB" w:rsidRDefault="002875AB">
            <w:pPr>
              <w:spacing w:line="360" w:lineRule="auto"/>
              <w:jc w:val="both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Fructose</w:t>
            </w:r>
          </w:p>
          <w:p w:rsidR="002875AB" w:rsidRDefault="002875AB">
            <w:pPr>
              <w:spacing w:line="360" w:lineRule="auto"/>
              <w:jc w:val="both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Soybean oil</w:t>
            </w:r>
          </w:p>
          <w:p w:rsidR="002875AB" w:rsidRDefault="002875AB">
            <w:pPr>
              <w:spacing w:line="360" w:lineRule="auto"/>
              <w:jc w:val="both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Lard</w:t>
            </w:r>
          </w:p>
          <w:p w:rsidR="002875AB" w:rsidRDefault="002875AB">
            <w:pPr>
              <w:spacing w:line="360" w:lineRule="auto"/>
              <w:jc w:val="both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Refined palm oil</w:t>
            </w:r>
          </w:p>
          <w:p w:rsidR="002875AB" w:rsidRDefault="002875AB">
            <w:pPr>
              <w:spacing w:line="360" w:lineRule="auto"/>
              <w:jc w:val="both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Cocoa butter</w:t>
            </w:r>
          </w:p>
          <w:p w:rsidR="002875AB" w:rsidRDefault="002875AB">
            <w:pPr>
              <w:spacing w:line="360" w:lineRule="auto"/>
              <w:jc w:val="both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Cellulose</w:t>
            </w:r>
          </w:p>
          <w:p w:rsidR="002875AB" w:rsidRDefault="002875AB">
            <w:pPr>
              <w:spacing w:line="360" w:lineRule="auto"/>
              <w:jc w:val="both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Mineral mix (AIN-93M)a</w:t>
            </w:r>
          </w:p>
          <w:p w:rsidR="002875AB" w:rsidRDefault="002875AB">
            <w:pPr>
              <w:spacing w:line="360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Vitamin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mix (AIN-93</w:t>
            </w:r>
            <w:proofErr w:type="gramStart"/>
            <w:r>
              <w:rPr>
                <w:sz w:val="22"/>
                <w:szCs w:val="22"/>
                <w:lang w:eastAsia="en-US"/>
              </w:rPr>
              <w:t>M)b</w:t>
            </w:r>
            <w:proofErr w:type="gramEnd"/>
          </w:p>
          <w:p w:rsidR="002875AB" w:rsidRDefault="002875AB">
            <w:pPr>
              <w:spacing w:line="360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L-Cystine</w:t>
            </w:r>
          </w:p>
          <w:p w:rsidR="002875AB" w:rsidRDefault="002875AB">
            <w:pPr>
              <w:spacing w:line="360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Choline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hps"/>
                <w:sz w:val="22"/>
                <w:szCs w:val="22"/>
                <w:lang w:val="en" w:eastAsia="en-US"/>
              </w:rPr>
              <w:t>chloride</w:t>
            </w:r>
            <w:r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</w:p>
          <w:p w:rsidR="002875AB" w:rsidRDefault="002875AB">
            <w:pPr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AB" w:rsidRDefault="002875AB">
            <w:pPr>
              <w:spacing w:line="360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150</w:t>
            </w:r>
          </w:p>
          <w:p w:rsidR="002875AB" w:rsidRDefault="002875AB">
            <w:pPr>
              <w:spacing w:line="360" w:lineRule="auto"/>
              <w:jc w:val="center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456.8</w:t>
            </w:r>
          </w:p>
          <w:p w:rsidR="002875AB" w:rsidRDefault="002875AB">
            <w:pPr>
              <w:spacing w:line="360" w:lineRule="auto"/>
              <w:jc w:val="center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155</w:t>
            </w:r>
          </w:p>
          <w:p w:rsidR="002875AB" w:rsidRDefault="002875AB">
            <w:pPr>
              <w:spacing w:line="360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100</w:t>
            </w:r>
          </w:p>
          <w:p w:rsidR="002875AB" w:rsidRDefault="002875AB">
            <w:pPr>
              <w:spacing w:line="360" w:lineRule="auto"/>
              <w:jc w:val="center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0</w:t>
            </w:r>
          </w:p>
          <w:p w:rsidR="002875AB" w:rsidRDefault="002875AB">
            <w:pPr>
              <w:spacing w:line="360" w:lineRule="auto"/>
              <w:jc w:val="center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  <w:p w:rsidR="002875AB" w:rsidRDefault="002875A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2875AB" w:rsidRDefault="002875AB">
            <w:pPr>
              <w:spacing w:line="360" w:lineRule="auto"/>
              <w:jc w:val="center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0</w:t>
            </w:r>
          </w:p>
          <w:p w:rsidR="002875AB" w:rsidRDefault="002875AB">
            <w:pPr>
              <w:spacing w:line="360" w:lineRule="auto"/>
              <w:jc w:val="center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0</w:t>
            </w:r>
          </w:p>
          <w:p w:rsidR="002875AB" w:rsidRDefault="002875AB">
            <w:pPr>
              <w:spacing w:line="360" w:lineRule="auto"/>
              <w:jc w:val="center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  <w:p w:rsidR="002875AB" w:rsidRDefault="002875AB">
            <w:pPr>
              <w:spacing w:line="360" w:lineRule="auto"/>
              <w:jc w:val="center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  <w:p w:rsidR="002875AB" w:rsidRDefault="002875AB">
            <w:pPr>
              <w:spacing w:line="360" w:lineRule="auto"/>
              <w:jc w:val="center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  <w:p w:rsidR="002875AB" w:rsidRDefault="002875AB">
            <w:pPr>
              <w:spacing w:line="360" w:lineRule="auto"/>
              <w:jc w:val="center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1.8</w:t>
            </w:r>
          </w:p>
          <w:p w:rsidR="002875AB" w:rsidRDefault="002875AB">
            <w:pPr>
              <w:spacing w:line="360" w:lineRule="auto"/>
              <w:jc w:val="center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1.4</w:t>
            </w:r>
          </w:p>
          <w:p w:rsidR="002875AB" w:rsidRDefault="002875A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AB" w:rsidRDefault="002875A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180</w:t>
            </w:r>
          </w:p>
          <w:p w:rsidR="002875AB" w:rsidRDefault="002875A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75.1</w:t>
            </w:r>
          </w:p>
          <w:p w:rsidR="002875AB" w:rsidRDefault="002875AB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25</w:t>
            </w:r>
          </w:p>
          <w:p w:rsidR="002875AB" w:rsidRDefault="002875AB">
            <w:pPr>
              <w:spacing w:line="360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  <w:p w:rsidR="002875AB" w:rsidRDefault="002875AB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250</w:t>
            </w:r>
          </w:p>
          <w:p w:rsidR="002875AB" w:rsidRDefault="002875AB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  <w:p w:rsidR="002875AB" w:rsidRDefault="002875AB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  <w:p w:rsidR="002875AB" w:rsidRDefault="002875AB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170</w:t>
            </w:r>
          </w:p>
          <w:p w:rsidR="002875AB" w:rsidRDefault="002875AB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85</w:t>
            </w:r>
          </w:p>
          <w:p w:rsidR="002875AB" w:rsidRDefault="002875AB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  <w:p w:rsidR="002875AB" w:rsidRDefault="002875AB">
            <w:pPr>
              <w:spacing w:line="36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  <w:p w:rsidR="002875AB" w:rsidRDefault="002875A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  <w:p w:rsidR="002875AB" w:rsidRDefault="002875A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</w:t>
            </w:r>
          </w:p>
          <w:p w:rsidR="002875AB" w:rsidRDefault="002875A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1.7</w:t>
            </w:r>
          </w:p>
          <w:p w:rsidR="002875AB" w:rsidRDefault="002875A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</w:t>
            </w:r>
          </w:p>
        </w:tc>
      </w:tr>
    </w:tbl>
    <w:p w:rsidR="002875AB" w:rsidRDefault="002875AB" w:rsidP="002875AB">
      <w:pPr>
        <w:pStyle w:val="Corpsdetexte2"/>
        <w:spacing w:line="360" w:lineRule="auto"/>
        <w:rPr>
          <w:color w:val="auto"/>
          <w:sz w:val="22"/>
          <w:szCs w:val="22"/>
          <w:lang w:val="en-US"/>
        </w:rPr>
      </w:pPr>
    </w:p>
    <w:p w:rsidR="002875AB" w:rsidRDefault="002875AB" w:rsidP="002875AB">
      <w:pPr>
        <w:pStyle w:val="Corpsdetexte2"/>
        <w:spacing w:line="360" w:lineRule="auto"/>
        <w:rPr>
          <w:color w:val="auto"/>
          <w:sz w:val="22"/>
          <w:szCs w:val="22"/>
          <w:lang w:val="en-US"/>
        </w:rPr>
      </w:pPr>
    </w:p>
    <w:p w:rsidR="002875AB" w:rsidRDefault="002875AB" w:rsidP="002875AB">
      <w:pPr>
        <w:pStyle w:val="Corpsdetexte2"/>
        <w:spacing w:line="360" w:lineRule="auto"/>
        <w:rPr>
          <w:color w:val="auto"/>
          <w:sz w:val="22"/>
          <w:szCs w:val="22"/>
          <w:lang w:val="en-US"/>
        </w:rPr>
      </w:pPr>
    </w:p>
    <w:p w:rsidR="002875AB" w:rsidRDefault="002875AB" w:rsidP="002875AB">
      <w:pPr>
        <w:pStyle w:val="Corpsdetexte2"/>
        <w:spacing w:line="360" w:lineRule="auto"/>
        <w:rPr>
          <w:color w:val="auto"/>
          <w:sz w:val="22"/>
          <w:szCs w:val="22"/>
          <w:lang w:val="en-US"/>
        </w:rPr>
      </w:pPr>
    </w:p>
    <w:p w:rsidR="002875AB" w:rsidRDefault="002875AB" w:rsidP="002875AB">
      <w:pPr>
        <w:pStyle w:val="Corpsdetexte2"/>
        <w:spacing w:line="360" w:lineRule="auto"/>
        <w:rPr>
          <w:color w:val="auto"/>
          <w:sz w:val="22"/>
          <w:szCs w:val="22"/>
          <w:lang w:val="en-US"/>
        </w:rPr>
      </w:pPr>
    </w:p>
    <w:p w:rsidR="002875AB" w:rsidRDefault="002875AB" w:rsidP="002875AB">
      <w:pPr>
        <w:pStyle w:val="Corpsdetexte2"/>
        <w:spacing w:line="360" w:lineRule="auto"/>
        <w:rPr>
          <w:color w:val="auto"/>
          <w:sz w:val="22"/>
          <w:szCs w:val="22"/>
          <w:lang w:val="en-US"/>
        </w:rPr>
      </w:pPr>
    </w:p>
    <w:p w:rsidR="002875AB" w:rsidRDefault="002875AB" w:rsidP="002875AB">
      <w:pPr>
        <w:pStyle w:val="Corpsdetexte2"/>
        <w:spacing w:line="360" w:lineRule="auto"/>
        <w:rPr>
          <w:color w:val="auto"/>
          <w:sz w:val="22"/>
          <w:szCs w:val="22"/>
          <w:lang w:val="en-US"/>
        </w:rPr>
      </w:pPr>
    </w:p>
    <w:p w:rsidR="002875AB" w:rsidRDefault="002875AB" w:rsidP="002875AB">
      <w:pPr>
        <w:pStyle w:val="Corpsdetexte2"/>
        <w:spacing w:line="360" w:lineRule="auto"/>
        <w:rPr>
          <w:color w:val="auto"/>
          <w:sz w:val="22"/>
          <w:szCs w:val="22"/>
          <w:lang w:val="en-US"/>
        </w:rPr>
      </w:pPr>
    </w:p>
    <w:p w:rsidR="002875AB" w:rsidRDefault="002875AB" w:rsidP="002875AB">
      <w:pPr>
        <w:pStyle w:val="Corpsdetexte2"/>
        <w:spacing w:line="360" w:lineRule="auto"/>
        <w:rPr>
          <w:color w:val="auto"/>
          <w:sz w:val="22"/>
          <w:szCs w:val="22"/>
          <w:lang w:val="en-US"/>
        </w:rPr>
      </w:pPr>
    </w:p>
    <w:p w:rsidR="002875AB" w:rsidRDefault="002875AB" w:rsidP="002875AB">
      <w:pPr>
        <w:pStyle w:val="Corpsdetexte2"/>
        <w:spacing w:line="360" w:lineRule="auto"/>
        <w:rPr>
          <w:color w:val="auto"/>
          <w:sz w:val="22"/>
          <w:szCs w:val="22"/>
          <w:lang w:val="en-US"/>
        </w:rPr>
      </w:pPr>
    </w:p>
    <w:p w:rsidR="002875AB" w:rsidRDefault="002875AB" w:rsidP="002875AB">
      <w:pPr>
        <w:pStyle w:val="Corpsdetexte2"/>
        <w:spacing w:line="360" w:lineRule="auto"/>
        <w:rPr>
          <w:color w:val="auto"/>
          <w:sz w:val="22"/>
          <w:szCs w:val="22"/>
          <w:lang w:val="en-US"/>
        </w:rPr>
      </w:pPr>
    </w:p>
    <w:p w:rsidR="002875AB" w:rsidRDefault="002875AB" w:rsidP="002875AB">
      <w:pPr>
        <w:pStyle w:val="Corpsdetexte2"/>
        <w:spacing w:line="360" w:lineRule="auto"/>
        <w:rPr>
          <w:color w:val="auto"/>
          <w:sz w:val="22"/>
          <w:szCs w:val="22"/>
          <w:lang w:val="en-US"/>
        </w:rPr>
      </w:pPr>
    </w:p>
    <w:p w:rsidR="002875AB" w:rsidRDefault="002875AB" w:rsidP="002875AB">
      <w:pPr>
        <w:pStyle w:val="Corpsdetexte2"/>
        <w:spacing w:line="360" w:lineRule="auto"/>
        <w:rPr>
          <w:color w:val="auto"/>
          <w:sz w:val="22"/>
          <w:szCs w:val="22"/>
          <w:lang w:val="en-US"/>
        </w:rPr>
      </w:pPr>
    </w:p>
    <w:p w:rsidR="002875AB" w:rsidRDefault="002875AB" w:rsidP="002875AB">
      <w:pPr>
        <w:pStyle w:val="Corpsdetexte2"/>
        <w:spacing w:line="360" w:lineRule="auto"/>
        <w:rPr>
          <w:color w:val="auto"/>
          <w:sz w:val="22"/>
          <w:szCs w:val="22"/>
          <w:lang w:val="en-US"/>
        </w:rPr>
      </w:pPr>
    </w:p>
    <w:p w:rsidR="002875AB" w:rsidRDefault="002875AB" w:rsidP="002875AB">
      <w:pPr>
        <w:pStyle w:val="Corpsdetexte2"/>
        <w:spacing w:line="360" w:lineRule="auto"/>
        <w:rPr>
          <w:color w:val="auto"/>
          <w:sz w:val="22"/>
          <w:szCs w:val="22"/>
          <w:lang w:val="en-US"/>
        </w:rPr>
      </w:pPr>
    </w:p>
    <w:p w:rsidR="002875AB" w:rsidRDefault="002875AB" w:rsidP="002875AB">
      <w:pPr>
        <w:pStyle w:val="Corpsdetexte2"/>
        <w:spacing w:line="360" w:lineRule="auto"/>
        <w:rPr>
          <w:color w:val="auto"/>
          <w:sz w:val="22"/>
          <w:szCs w:val="22"/>
          <w:lang w:val="en-US"/>
        </w:rPr>
      </w:pPr>
    </w:p>
    <w:p w:rsidR="002875AB" w:rsidRDefault="002875AB" w:rsidP="002875AB">
      <w:pPr>
        <w:pStyle w:val="Corpsdetexte2"/>
        <w:spacing w:line="360" w:lineRule="auto"/>
        <w:rPr>
          <w:color w:val="auto"/>
          <w:sz w:val="22"/>
          <w:szCs w:val="22"/>
          <w:lang w:val="en-US"/>
        </w:rPr>
      </w:pPr>
    </w:p>
    <w:p w:rsidR="002875AB" w:rsidRDefault="002875AB" w:rsidP="002875AB">
      <w:pPr>
        <w:pStyle w:val="Corpsdetexte2"/>
        <w:spacing w:line="360" w:lineRule="auto"/>
        <w:rPr>
          <w:color w:val="auto"/>
          <w:sz w:val="22"/>
          <w:szCs w:val="22"/>
          <w:lang w:val="en-US"/>
        </w:rPr>
      </w:pPr>
    </w:p>
    <w:p w:rsidR="002875AB" w:rsidRDefault="002875AB" w:rsidP="002875AB">
      <w:pPr>
        <w:spacing w:line="360" w:lineRule="auto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Refined palm oil (</w:t>
      </w:r>
      <w:r>
        <w:rPr>
          <w:rFonts w:eastAsiaTheme="minorHAnsi"/>
          <w:sz w:val="22"/>
          <w:szCs w:val="22"/>
          <w:lang w:eastAsia="en-US"/>
        </w:rPr>
        <w:t>VAMOLINE</w:t>
      </w:r>
      <w:r>
        <w:rPr>
          <w:bCs/>
          <w:sz w:val="22"/>
          <w:szCs w:val="22"/>
          <w:lang w:val="en-US"/>
        </w:rPr>
        <w:t xml:space="preserve">) </w:t>
      </w:r>
      <w:proofErr w:type="gramStart"/>
      <w:r>
        <w:rPr>
          <w:bCs/>
          <w:sz w:val="22"/>
          <w:szCs w:val="22"/>
          <w:lang w:val="en-US"/>
        </w:rPr>
        <w:t>was purchased</w:t>
      </w:r>
      <w:proofErr w:type="gramEnd"/>
      <w:r>
        <w:rPr>
          <w:bCs/>
          <w:sz w:val="22"/>
          <w:szCs w:val="22"/>
          <w:lang w:val="en-US"/>
        </w:rPr>
        <w:t xml:space="preserve"> from </w:t>
      </w:r>
      <w:proofErr w:type="spellStart"/>
      <w:r>
        <w:rPr>
          <w:rFonts w:eastAsiaTheme="minorHAnsi"/>
          <w:sz w:val="22"/>
          <w:szCs w:val="22"/>
          <w:lang w:eastAsia="en-US"/>
        </w:rPr>
        <w:t>Vandemoortele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eastAsia="en-US"/>
        </w:rPr>
        <w:t>Lipids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and </w:t>
      </w:r>
      <w:proofErr w:type="spellStart"/>
      <w:r>
        <w:rPr>
          <w:rFonts w:eastAsiaTheme="minorHAnsi"/>
          <w:sz w:val="22"/>
          <w:szCs w:val="22"/>
          <w:lang w:eastAsia="en-US"/>
        </w:rPr>
        <w:t>Dough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Division Prins </w:t>
      </w:r>
      <w:proofErr w:type="spellStart"/>
      <w:r>
        <w:rPr>
          <w:rFonts w:eastAsiaTheme="minorHAnsi"/>
          <w:sz w:val="22"/>
          <w:szCs w:val="22"/>
          <w:lang w:eastAsia="en-US"/>
        </w:rPr>
        <w:t>Albertlaan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12, 8870 Izegem, </w:t>
      </w:r>
      <w:proofErr w:type="spellStart"/>
      <w:r>
        <w:rPr>
          <w:rFonts w:eastAsiaTheme="minorHAnsi"/>
          <w:sz w:val="22"/>
          <w:szCs w:val="22"/>
          <w:lang w:eastAsia="en-US"/>
        </w:rPr>
        <w:t>Belgium</w:t>
      </w:r>
      <w:proofErr w:type="spellEnd"/>
      <w:r>
        <w:rPr>
          <w:rFonts w:eastAsiaTheme="minorHAnsi"/>
          <w:sz w:val="22"/>
          <w:szCs w:val="22"/>
          <w:lang w:eastAsia="en-US"/>
        </w:rPr>
        <w:t>.</w:t>
      </w:r>
    </w:p>
    <w:p w:rsidR="002875AB" w:rsidRDefault="002875AB" w:rsidP="002875AB">
      <w:pPr>
        <w:widowControl w:val="0"/>
        <w:autoSpaceDE w:val="0"/>
        <w:autoSpaceDN w:val="0"/>
        <w:spacing w:before="100" w:line="360" w:lineRule="auto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a</w:t>
      </w:r>
      <w:proofErr w:type="gramEnd"/>
      <w:r>
        <w:rPr>
          <w:sz w:val="22"/>
          <w:szCs w:val="22"/>
          <w:lang w:val="en-GB"/>
        </w:rPr>
        <w:t xml:space="preserve">: Mineral mix AIN 1993 ensures the following mineral levels in the diets (mg/kg): Na, 1020; K, 3600; P, 4000; Ca, 5000; Mg, 500; Zn, 30; Fe, 35; Cu, 6; </w:t>
      </w:r>
      <w:proofErr w:type="spellStart"/>
      <w:r>
        <w:rPr>
          <w:sz w:val="22"/>
          <w:szCs w:val="22"/>
          <w:lang w:val="en-GB"/>
        </w:rPr>
        <w:t>Mn</w:t>
      </w:r>
      <w:proofErr w:type="spellEnd"/>
      <w:r>
        <w:rPr>
          <w:sz w:val="22"/>
          <w:szCs w:val="22"/>
          <w:lang w:val="en-GB"/>
        </w:rPr>
        <w:t xml:space="preserve">, 54; Se,0.1; I, 0.2; Cr, 2. </w:t>
      </w:r>
    </w:p>
    <w:p w:rsidR="002875AB" w:rsidRDefault="002875AB" w:rsidP="002875AB">
      <w:pPr>
        <w:widowControl w:val="0"/>
        <w:autoSpaceDE w:val="0"/>
        <w:autoSpaceDN w:val="0"/>
        <w:spacing w:before="100"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b: Vitamin mix AIN 1993 ensures the following mineral levels in the diets (mg/kg) : thiamine, 6; </w:t>
      </w:r>
      <w:proofErr w:type="spellStart"/>
      <w:r>
        <w:rPr>
          <w:sz w:val="22"/>
          <w:szCs w:val="22"/>
          <w:lang w:val="en-GB"/>
        </w:rPr>
        <w:t>riboflavine</w:t>
      </w:r>
      <w:proofErr w:type="spellEnd"/>
      <w:r>
        <w:rPr>
          <w:sz w:val="22"/>
          <w:szCs w:val="22"/>
          <w:lang w:val="en-GB"/>
        </w:rPr>
        <w:t xml:space="preserve">, 6; pyridoxine, 7; nicotinic acid, 30; calcium </w:t>
      </w:r>
      <w:proofErr w:type="spellStart"/>
      <w:r>
        <w:rPr>
          <w:sz w:val="22"/>
          <w:szCs w:val="22"/>
          <w:lang w:val="en-GB"/>
        </w:rPr>
        <w:t>pantothenate</w:t>
      </w:r>
      <w:proofErr w:type="spellEnd"/>
      <w:r>
        <w:rPr>
          <w:sz w:val="22"/>
          <w:szCs w:val="22"/>
          <w:lang w:val="en-GB"/>
        </w:rPr>
        <w:t xml:space="preserve">, 16; folic acid, 2; </w:t>
      </w:r>
      <w:r>
        <w:rPr>
          <w:smallCaps/>
          <w:sz w:val="22"/>
          <w:szCs w:val="22"/>
          <w:lang w:val="en-GB"/>
        </w:rPr>
        <w:t>d</w:t>
      </w:r>
      <w:r>
        <w:rPr>
          <w:sz w:val="22"/>
          <w:szCs w:val="22"/>
          <w:lang w:val="en-GB"/>
        </w:rPr>
        <w:t xml:space="preserve">-biotin: 0.2; and (µg/kg) </w:t>
      </w:r>
      <w:proofErr w:type="spellStart"/>
      <w:r>
        <w:rPr>
          <w:sz w:val="22"/>
          <w:szCs w:val="22"/>
          <w:lang w:val="en-GB"/>
        </w:rPr>
        <w:t>cyanocobalamine</w:t>
      </w:r>
      <w:proofErr w:type="spellEnd"/>
      <w:r>
        <w:rPr>
          <w:sz w:val="22"/>
          <w:szCs w:val="22"/>
          <w:lang w:val="en-GB"/>
        </w:rPr>
        <w:t xml:space="preserve"> (vitamin B12), 10; vitamin K, 50; and (IU/kg) vitamin A, 4000; vitamin E, 50; vitamin D, 1000.  </w:t>
      </w:r>
    </w:p>
    <w:p w:rsidR="002875AB" w:rsidRDefault="002875AB" w:rsidP="002875AB">
      <w:pPr>
        <w:spacing w:after="200" w:line="276" w:lineRule="auto"/>
        <w:rPr>
          <w:sz w:val="22"/>
          <w:szCs w:val="22"/>
          <w:lang w:val="en-GB"/>
        </w:rPr>
      </w:pPr>
    </w:p>
    <w:p w:rsidR="002875AB" w:rsidRDefault="00562C33" w:rsidP="002875AB">
      <w:pPr>
        <w:spacing w:line="360" w:lineRule="auto"/>
        <w:jc w:val="both"/>
        <w:rPr>
          <w:b/>
          <w:sz w:val="22"/>
          <w:szCs w:val="22"/>
          <w:lang w:val="en-GB"/>
        </w:rPr>
      </w:pPr>
      <w:r w:rsidRPr="004A7696">
        <w:rPr>
          <w:b/>
          <w:sz w:val="22"/>
          <w:szCs w:val="22"/>
          <w:lang w:val="en-GB"/>
        </w:rPr>
        <w:t xml:space="preserve"> </w:t>
      </w:r>
    </w:p>
    <w:p w:rsidR="002875AB" w:rsidRDefault="002875AB" w:rsidP="002875AB">
      <w:pPr>
        <w:spacing w:line="360" w:lineRule="auto"/>
        <w:jc w:val="both"/>
        <w:rPr>
          <w:b/>
          <w:sz w:val="22"/>
          <w:szCs w:val="22"/>
          <w:lang w:val="en-GB"/>
        </w:rPr>
      </w:pPr>
    </w:p>
    <w:p w:rsidR="002875AB" w:rsidRDefault="002875AB" w:rsidP="002875AB">
      <w:pPr>
        <w:spacing w:line="360" w:lineRule="auto"/>
        <w:jc w:val="both"/>
        <w:rPr>
          <w:b/>
          <w:sz w:val="22"/>
          <w:szCs w:val="22"/>
          <w:lang w:val="en-GB"/>
        </w:rPr>
      </w:pPr>
    </w:p>
    <w:p w:rsidR="002875AB" w:rsidRDefault="002875AB" w:rsidP="002875AB">
      <w:pPr>
        <w:spacing w:line="360" w:lineRule="auto"/>
        <w:jc w:val="both"/>
        <w:rPr>
          <w:b/>
          <w:sz w:val="22"/>
          <w:szCs w:val="22"/>
          <w:lang w:val="en-GB"/>
        </w:rPr>
      </w:pPr>
    </w:p>
    <w:p w:rsidR="002875AB" w:rsidRDefault="002875AB" w:rsidP="002875AB">
      <w:pPr>
        <w:spacing w:line="360" w:lineRule="auto"/>
        <w:jc w:val="both"/>
        <w:rPr>
          <w:b/>
          <w:sz w:val="22"/>
          <w:szCs w:val="22"/>
          <w:lang w:val="en-GB"/>
        </w:rPr>
      </w:pPr>
    </w:p>
    <w:p w:rsidR="002875AB" w:rsidRDefault="002875AB" w:rsidP="002875AB">
      <w:pPr>
        <w:spacing w:line="360" w:lineRule="auto"/>
        <w:jc w:val="both"/>
        <w:rPr>
          <w:b/>
          <w:sz w:val="22"/>
          <w:szCs w:val="22"/>
          <w:lang w:val="en-GB"/>
        </w:rPr>
      </w:pPr>
    </w:p>
    <w:p w:rsidR="002875AB" w:rsidRDefault="002875AB" w:rsidP="002875AB">
      <w:pPr>
        <w:spacing w:line="360" w:lineRule="auto"/>
        <w:jc w:val="both"/>
        <w:rPr>
          <w:b/>
          <w:sz w:val="22"/>
          <w:szCs w:val="22"/>
          <w:lang w:val="en-GB"/>
        </w:rPr>
      </w:pPr>
    </w:p>
    <w:p w:rsidR="002875AB" w:rsidRDefault="002875AB" w:rsidP="002875AB">
      <w:pPr>
        <w:spacing w:line="360" w:lineRule="auto"/>
        <w:jc w:val="both"/>
        <w:rPr>
          <w:b/>
          <w:sz w:val="22"/>
          <w:szCs w:val="22"/>
          <w:lang w:val="en-GB"/>
        </w:rPr>
      </w:pPr>
    </w:p>
    <w:p w:rsidR="00562C33" w:rsidRPr="004A7696" w:rsidRDefault="00562C33" w:rsidP="002875AB">
      <w:pPr>
        <w:spacing w:line="360" w:lineRule="auto"/>
        <w:jc w:val="both"/>
        <w:rPr>
          <w:sz w:val="22"/>
          <w:szCs w:val="22"/>
          <w:lang w:val="en-US"/>
        </w:rPr>
      </w:pPr>
      <w:r w:rsidRPr="004A7696">
        <w:rPr>
          <w:bCs/>
          <w:sz w:val="22"/>
          <w:szCs w:val="22"/>
          <w:lang w:val="en-GB"/>
        </w:rPr>
        <w:lastRenderedPageBreak/>
        <w:t xml:space="preserve">Supplementary table </w:t>
      </w:r>
      <w:r w:rsidR="00825AFD">
        <w:rPr>
          <w:bCs/>
          <w:sz w:val="22"/>
          <w:szCs w:val="22"/>
          <w:lang w:val="en-GB"/>
        </w:rPr>
        <w:t>S</w:t>
      </w:r>
      <w:r w:rsidRPr="004A7696">
        <w:rPr>
          <w:bCs/>
          <w:sz w:val="22"/>
          <w:szCs w:val="22"/>
          <w:lang w:val="en-US"/>
        </w:rPr>
        <w:t>2:</w:t>
      </w:r>
      <w:r w:rsidRPr="004A7696">
        <w:rPr>
          <w:sz w:val="22"/>
          <w:szCs w:val="22"/>
          <w:lang w:val="en-US"/>
        </w:rPr>
        <w:t xml:space="preserve"> </w:t>
      </w:r>
      <w:r w:rsidRPr="004A7696">
        <w:rPr>
          <w:sz w:val="22"/>
          <w:szCs w:val="22"/>
          <w:lang w:val="en-GB"/>
        </w:rPr>
        <w:t>Fatty acid composition of the experimental diets</w:t>
      </w:r>
      <w:r w:rsidRPr="004A7696">
        <w:rPr>
          <w:sz w:val="22"/>
          <w:szCs w:val="22"/>
          <w:vertAlign w:val="superscript"/>
          <w:lang w:val="en-GB"/>
        </w:rPr>
        <w:t>1</w:t>
      </w:r>
      <w:r w:rsidRPr="004A7696">
        <w:rPr>
          <w:sz w:val="22"/>
          <w:szCs w:val="22"/>
          <w:lang w:val="en-GB"/>
        </w:rPr>
        <w:t xml:space="preserve"> (%)</w:t>
      </w:r>
    </w:p>
    <w:tbl>
      <w:tblPr>
        <w:tblpPr w:leftFromText="141" w:rightFromText="141" w:vertAnchor="text" w:horzAnchor="margin" w:tblpY="148"/>
        <w:tblW w:w="6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2300"/>
        <w:gridCol w:w="2225"/>
      </w:tblGrid>
      <w:tr w:rsidR="00E37901" w:rsidRPr="004A7696" w:rsidTr="00E37901">
        <w:trPr>
          <w:trHeight w:val="281"/>
        </w:trPr>
        <w:tc>
          <w:tcPr>
            <w:tcW w:w="1779" w:type="dxa"/>
            <w:noWrap/>
            <w:hideMark/>
          </w:tcPr>
          <w:p w:rsidR="00E37901" w:rsidRPr="004A7696" w:rsidRDefault="00E37901" w:rsidP="00C656D2">
            <w:pPr>
              <w:rPr>
                <w:bCs/>
                <w:sz w:val="22"/>
                <w:szCs w:val="22"/>
                <w:lang w:val="en-GB"/>
              </w:rPr>
            </w:pPr>
            <w:r w:rsidRPr="004A7696">
              <w:rPr>
                <w:bCs/>
                <w:sz w:val="22"/>
                <w:szCs w:val="22"/>
                <w:lang w:val="en-GB"/>
              </w:rPr>
              <w:t>Fatty acids (%)</w:t>
            </w:r>
          </w:p>
          <w:p w:rsidR="00E37901" w:rsidRPr="004A7696" w:rsidRDefault="00E37901" w:rsidP="00C656D2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2300" w:type="dxa"/>
            <w:noWrap/>
            <w:hideMark/>
          </w:tcPr>
          <w:p w:rsidR="00E37901" w:rsidRPr="004A7696" w:rsidRDefault="00E37901" w:rsidP="00C656D2">
            <w:pPr>
              <w:pStyle w:val="xl32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b w:val="0"/>
                <w:lang w:val="en-GB"/>
              </w:rPr>
            </w:pPr>
            <w:r w:rsidRPr="004A7696">
              <w:rPr>
                <w:b w:val="0"/>
                <w:lang w:val="en-GB"/>
              </w:rPr>
              <w:t>Control diet</w:t>
            </w:r>
          </w:p>
        </w:tc>
        <w:tc>
          <w:tcPr>
            <w:tcW w:w="2225" w:type="dxa"/>
            <w:noWrap/>
            <w:hideMark/>
          </w:tcPr>
          <w:p w:rsidR="00E37901" w:rsidRPr="004A7696" w:rsidRDefault="00DA102B" w:rsidP="00C656D2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4A7696">
              <w:rPr>
                <w:bCs/>
                <w:sz w:val="22"/>
                <w:szCs w:val="22"/>
                <w:lang w:val="en-GB"/>
              </w:rPr>
              <w:t xml:space="preserve">HFHFR </w:t>
            </w:r>
            <w:r w:rsidR="00E37901" w:rsidRPr="004A7696">
              <w:rPr>
                <w:bCs/>
                <w:sz w:val="22"/>
                <w:szCs w:val="22"/>
                <w:lang w:val="en-GB"/>
              </w:rPr>
              <w:t>diet</w:t>
            </w:r>
          </w:p>
        </w:tc>
      </w:tr>
      <w:tr w:rsidR="00E37901" w:rsidRPr="004A7696" w:rsidTr="00E37901">
        <w:trPr>
          <w:trHeight w:val="1386"/>
        </w:trPr>
        <w:tc>
          <w:tcPr>
            <w:tcW w:w="1779" w:type="dxa"/>
            <w:noWrap/>
            <w:hideMark/>
          </w:tcPr>
          <w:p w:rsidR="00E37901" w:rsidRPr="004A7696" w:rsidRDefault="00E37901" w:rsidP="00C656D2">
            <w:pPr>
              <w:jc w:val="both"/>
              <w:rPr>
                <w:bCs/>
                <w:sz w:val="22"/>
                <w:szCs w:val="22"/>
                <w:lang w:val="en-GB"/>
              </w:rPr>
            </w:pPr>
            <w:r w:rsidRPr="004A7696">
              <w:rPr>
                <w:bCs/>
                <w:sz w:val="22"/>
                <w:szCs w:val="22"/>
                <w:lang w:val="en-GB"/>
              </w:rPr>
              <w:t>14:0</w:t>
            </w:r>
          </w:p>
          <w:p w:rsidR="00E37901" w:rsidRPr="004A7696" w:rsidRDefault="00E37901" w:rsidP="00C656D2">
            <w:pPr>
              <w:jc w:val="both"/>
              <w:rPr>
                <w:bCs/>
                <w:sz w:val="22"/>
                <w:szCs w:val="22"/>
                <w:lang w:val="en-GB"/>
              </w:rPr>
            </w:pPr>
            <w:r w:rsidRPr="004A7696">
              <w:rPr>
                <w:bCs/>
                <w:sz w:val="22"/>
                <w:szCs w:val="22"/>
                <w:lang w:val="en-GB"/>
              </w:rPr>
              <w:t>16:0</w:t>
            </w:r>
          </w:p>
          <w:p w:rsidR="00E37901" w:rsidRPr="004A7696" w:rsidRDefault="00E37901" w:rsidP="00C656D2">
            <w:pPr>
              <w:jc w:val="both"/>
              <w:rPr>
                <w:bCs/>
                <w:sz w:val="22"/>
                <w:szCs w:val="22"/>
                <w:lang w:val="en-GB"/>
              </w:rPr>
            </w:pPr>
            <w:r w:rsidRPr="004A7696">
              <w:rPr>
                <w:bCs/>
                <w:sz w:val="22"/>
                <w:szCs w:val="22"/>
                <w:lang w:val="en-GB"/>
              </w:rPr>
              <w:t>16:1n-7</w:t>
            </w:r>
          </w:p>
          <w:p w:rsidR="00E37901" w:rsidRPr="004A7696" w:rsidRDefault="00E37901" w:rsidP="00C656D2">
            <w:pPr>
              <w:jc w:val="both"/>
              <w:rPr>
                <w:bCs/>
                <w:sz w:val="22"/>
                <w:szCs w:val="22"/>
                <w:lang w:val="en-GB"/>
              </w:rPr>
            </w:pPr>
            <w:r w:rsidRPr="004A7696">
              <w:rPr>
                <w:bCs/>
                <w:sz w:val="22"/>
                <w:szCs w:val="22"/>
                <w:lang w:val="en-GB"/>
              </w:rPr>
              <w:t>18:0</w:t>
            </w:r>
          </w:p>
          <w:p w:rsidR="00E37901" w:rsidRPr="004A7696" w:rsidRDefault="00E37901" w:rsidP="00C656D2">
            <w:pPr>
              <w:jc w:val="both"/>
              <w:rPr>
                <w:bCs/>
                <w:sz w:val="22"/>
                <w:szCs w:val="22"/>
                <w:lang w:val="en-GB"/>
              </w:rPr>
            </w:pPr>
            <w:r w:rsidRPr="004A7696">
              <w:rPr>
                <w:bCs/>
                <w:sz w:val="22"/>
                <w:szCs w:val="22"/>
                <w:lang w:val="en-GB"/>
              </w:rPr>
              <w:t>18:1 n-9</w:t>
            </w:r>
          </w:p>
          <w:p w:rsidR="00E37901" w:rsidRPr="004A7696" w:rsidRDefault="00E37901" w:rsidP="00C656D2">
            <w:pPr>
              <w:jc w:val="both"/>
              <w:rPr>
                <w:bCs/>
                <w:sz w:val="22"/>
                <w:szCs w:val="22"/>
                <w:lang w:val="en-GB"/>
              </w:rPr>
            </w:pPr>
            <w:r w:rsidRPr="004A7696">
              <w:rPr>
                <w:bCs/>
                <w:sz w:val="22"/>
                <w:szCs w:val="22"/>
                <w:lang w:val="en-GB"/>
              </w:rPr>
              <w:t>18:1 n-7</w:t>
            </w:r>
          </w:p>
          <w:p w:rsidR="00E37901" w:rsidRPr="004A7696" w:rsidRDefault="00E37901" w:rsidP="00C656D2">
            <w:pPr>
              <w:jc w:val="both"/>
              <w:rPr>
                <w:bCs/>
                <w:sz w:val="22"/>
                <w:szCs w:val="22"/>
                <w:lang w:val="en-GB"/>
              </w:rPr>
            </w:pPr>
            <w:r w:rsidRPr="004A7696">
              <w:rPr>
                <w:bCs/>
                <w:sz w:val="22"/>
                <w:szCs w:val="22"/>
                <w:lang w:val="en-GB"/>
              </w:rPr>
              <w:t>18:2 n-6</w:t>
            </w:r>
          </w:p>
          <w:p w:rsidR="00E37901" w:rsidRPr="004A7696" w:rsidRDefault="00E37901" w:rsidP="00C656D2">
            <w:pPr>
              <w:jc w:val="both"/>
              <w:rPr>
                <w:bCs/>
                <w:sz w:val="22"/>
                <w:szCs w:val="22"/>
                <w:lang w:val="en-GB"/>
              </w:rPr>
            </w:pPr>
            <w:r w:rsidRPr="004A7696">
              <w:rPr>
                <w:bCs/>
                <w:sz w:val="22"/>
                <w:szCs w:val="22"/>
                <w:lang w:val="en-GB"/>
              </w:rPr>
              <w:t>18:3 n-3</w:t>
            </w:r>
          </w:p>
          <w:p w:rsidR="00E37901" w:rsidRPr="004A7696" w:rsidRDefault="00E37901" w:rsidP="00C656D2">
            <w:pPr>
              <w:jc w:val="both"/>
              <w:rPr>
                <w:bCs/>
                <w:sz w:val="22"/>
                <w:szCs w:val="22"/>
                <w:lang w:val="en-GB"/>
              </w:rPr>
            </w:pPr>
            <w:r w:rsidRPr="004A7696">
              <w:rPr>
                <w:bCs/>
                <w:sz w:val="22"/>
                <w:szCs w:val="22"/>
                <w:lang w:val="en-GB"/>
              </w:rPr>
              <w:t>Total SFA</w:t>
            </w:r>
            <w:r w:rsidRPr="004A7696">
              <w:rPr>
                <w:bCs/>
                <w:sz w:val="22"/>
                <w:szCs w:val="22"/>
                <w:vertAlign w:val="superscript"/>
                <w:lang w:val="en-GB"/>
              </w:rPr>
              <w:t>2</w:t>
            </w:r>
          </w:p>
          <w:p w:rsidR="00E37901" w:rsidRPr="004A7696" w:rsidRDefault="00E37901" w:rsidP="00C656D2">
            <w:pPr>
              <w:jc w:val="both"/>
              <w:rPr>
                <w:bCs/>
                <w:sz w:val="22"/>
                <w:szCs w:val="22"/>
                <w:lang w:val="en-GB"/>
              </w:rPr>
            </w:pPr>
            <w:r w:rsidRPr="004A7696">
              <w:rPr>
                <w:bCs/>
                <w:sz w:val="22"/>
                <w:szCs w:val="22"/>
                <w:lang w:val="en-GB"/>
              </w:rPr>
              <w:t>Total MUFA</w:t>
            </w:r>
            <w:r w:rsidRPr="004A7696">
              <w:rPr>
                <w:bCs/>
                <w:sz w:val="22"/>
                <w:szCs w:val="22"/>
                <w:vertAlign w:val="superscript"/>
                <w:lang w:val="en-GB"/>
              </w:rPr>
              <w:t>2</w:t>
            </w:r>
          </w:p>
          <w:p w:rsidR="00E37901" w:rsidRPr="004A7696" w:rsidRDefault="00E37901" w:rsidP="00C656D2">
            <w:pPr>
              <w:jc w:val="both"/>
              <w:rPr>
                <w:bCs/>
                <w:sz w:val="22"/>
                <w:szCs w:val="22"/>
                <w:lang w:val="en-GB"/>
              </w:rPr>
            </w:pPr>
            <w:r w:rsidRPr="004A7696">
              <w:rPr>
                <w:bCs/>
                <w:sz w:val="22"/>
                <w:szCs w:val="22"/>
                <w:lang w:val="en-GB"/>
              </w:rPr>
              <w:t>Total PUFA</w:t>
            </w:r>
            <w:r w:rsidRPr="004A7696">
              <w:rPr>
                <w:bCs/>
                <w:sz w:val="22"/>
                <w:szCs w:val="22"/>
                <w:vertAlign w:val="superscript"/>
                <w:lang w:val="en-GB"/>
              </w:rPr>
              <w:t>2</w:t>
            </w:r>
          </w:p>
          <w:p w:rsidR="00E37901" w:rsidRPr="004A7696" w:rsidRDefault="00E37901" w:rsidP="00C656D2">
            <w:pPr>
              <w:jc w:val="both"/>
              <w:rPr>
                <w:bCs/>
                <w:sz w:val="22"/>
                <w:szCs w:val="22"/>
                <w:lang w:val="en-GB"/>
              </w:rPr>
            </w:pPr>
            <w:r w:rsidRPr="004A7696">
              <w:rPr>
                <w:bCs/>
                <w:sz w:val="22"/>
                <w:szCs w:val="22"/>
                <w:lang w:val="en-GB"/>
              </w:rPr>
              <w:t>n-6</w:t>
            </w:r>
          </w:p>
          <w:p w:rsidR="00E37901" w:rsidRPr="004A7696" w:rsidRDefault="00E37901" w:rsidP="00C656D2">
            <w:pPr>
              <w:jc w:val="both"/>
              <w:rPr>
                <w:bCs/>
                <w:sz w:val="22"/>
                <w:szCs w:val="22"/>
                <w:lang w:val="en-GB"/>
              </w:rPr>
            </w:pPr>
            <w:r w:rsidRPr="004A7696">
              <w:rPr>
                <w:bCs/>
                <w:sz w:val="22"/>
                <w:szCs w:val="22"/>
                <w:lang w:val="en-GB"/>
              </w:rPr>
              <w:t>n-3</w:t>
            </w:r>
          </w:p>
          <w:p w:rsidR="00E37901" w:rsidRPr="004A7696" w:rsidRDefault="00E37901" w:rsidP="00C656D2">
            <w:pPr>
              <w:jc w:val="both"/>
              <w:rPr>
                <w:bCs/>
                <w:sz w:val="22"/>
                <w:szCs w:val="22"/>
                <w:lang w:val="en-GB"/>
              </w:rPr>
            </w:pPr>
            <w:r w:rsidRPr="004A7696">
              <w:rPr>
                <w:bCs/>
                <w:sz w:val="22"/>
                <w:szCs w:val="22"/>
                <w:lang w:val="en-GB"/>
              </w:rPr>
              <w:t>n-6/n-3</w:t>
            </w:r>
          </w:p>
          <w:p w:rsidR="00E37901" w:rsidRPr="004A7696" w:rsidRDefault="00E37901" w:rsidP="00C656D2">
            <w:pPr>
              <w:jc w:val="both"/>
              <w:rPr>
                <w:bCs/>
                <w:sz w:val="22"/>
                <w:szCs w:val="22"/>
                <w:lang w:val="en-GB"/>
              </w:rPr>
            </w:pPr>
            <w:r w:rsidRPr="004A7696">
              <w:rPr>
                <w:bCs/>
                <w:sz w:val="22"/>
                <w:szCs w:val="22"/>
                <w:lang w:val="en-GB"/>
              </w:rPr>
              <w:t>PUFA/SFA</w:t>
            </w:r>
            <w:r w:rsidRPr="004A7696">
              <w:rPr>
                <w:bCs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2300" w:type="dxa"/>
            <w:noWrap/>
            <w:hideMark/>
          </w:tcPr>
          <w:p w:rsidR="00E37901" w:rsidRPr="004A7696" w:rsidRDefault="00E37901" w:rsidP="00C656D2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4A7696">
              <w:rPr>
                <w:bCs/>
                <w:sz w:val="22"/>
                <w:szCs w:val="22"/>
                <w:lang w:val="de-DE"/>
              </w:rPr>
              <w:t>0.43</w:t>
            </w:r>
          </w:p>
          <w:p w:rsidR="00E37901" w:rsidRPr="004A7696" w:rsidRDefault="00E37901" w:rsidP="00C656D2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4A7696">
              <w:rPr>
                <w:bCs/>
                <w:sz w:val="22"/>
                <w:szCs w:val="22"/>
                <w:lang w:val="de-DE"/>
              </w:rPr>
              <w:t>11.7</w:t>
            </w:r>
          </w:p>
          <w:p w:rsidR="00E37901" w:rsidRPr="004A7696" w:rsidRDefault="00E37901" w:rsidP="00C656D2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4A7696">
              <w:rPr>
                <w:bCs/>
                <w:sz w:val="22"/>
                <w:szCs w:val="22"/>
                <w:lang w:val="de-DE"/>
              </w:rPr>
              <w:t>0.16</w:t>
            </w:r>
          </w:p>
          <w:p w:rsidR="00E37901" w:rsidRPr="004A7696" w:rsidRDefault="00E37901" w:rsidP="00C656D2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4A7696">
              <w:rPr>
                <w:bCs/>
                <w:sz w:val="22"/>
                <w:szCs w:val="22"/>
                <w:lang w:val="de-DE"/>
              </w:rPr>
              <w:t>4.43</w:t>
            </w:r>
          </w:p>
          <w:p w:rsidR="00E37901" w:rsidRPr="004A7696" w:rsidRDefault="00E37901" w:rsidP="00C656D2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4A7696">
              <w:rPr>
                <w:bCs/>
                <w:sz w:val="22"/>
                <w:szCs w:val="22"/>
                <w:lang w:val="de-DE"/>
              </w:rPr>
              <w:t>26.1</w:t>
            </w:r>
          </w:p>
          <w:p w:rsidR="00E37901" w:rsidRPr="004A7696" w:rsidRDefault="00E37901" w:rsidP="00C656D2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4A7696">
              <w:rPr>
                <w:bCs/>
                <w:sz w:val="22"/>
                <w:szCs w:val="22"/>
                <w:lang w:val="de-DE"/>
              </w:rPr>
              <w:t>1.53</w:t>
            </w:r>
          </w:p>
          <w:p w:rsidR="00E37901" w:rsidRPr="004A7696" w:rsidRDefault="00E37901" w:rsidP="00C656D2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4A7696">
              <w:rPr>
                <w:bCs/>
                <w:sz w:val="22"/>
                <w:szCs w:val="22"/>
                <w:lang w:val="de-DE"/>
              </w:rPr>
              <w:t>48.8</w:t>
            </w:r>
          </w:p>
          <w:p w:rsidR="00E37901" w:rsidRPr="004A7696" w:rsidRDefault="00E37901" w:rsidP="00C656D2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4A7696">
              <w:rPr>
                <w:bCs/>
                <w:sz w:val="22"/>
                <w:szCs w:val="22"/>
                <w:lang w:val="de-DE"/>
              </w:rPr>
              <w:t>5.58</w:t>
            </w:r>
          </w:p>
          <w:p w:rsidR="00E37901" w:rsidRPr="004A7696" w:rsidRDefault="00E37901" w:rsidP="00C656D2">
            <w:pPr>
              <w:jc w:val="center"/>
              <w:rPr>
                <w:bCs/>
                <w:sz w:val="22"/>
                <w:szCs w:val="22"/>
                <w:vertAlign w:val="superscript"/>
                <w:lang w:val="de-DE"/>
              </w:rPr>
            </w:pPr>
            <w:r w:rsidRPr="004A7696">
              <w:rPr>
                <w:bCs/>
                <w:sz w:val="22"/>
                <w:szCs w:val="22"/>
                <w:lang w:val="de-DE"/>
              </w:rPr>
              <w:t>17.4</w:t>
            </w:r>
            <w:r w:rsidRPr="004A7696">
              <w:rPr>
                <w:bCs/>
                <w:color w:val="FFFFFF" w:themeColor="background1"/>
                <w:sz w:val="22"/>
                <w:szCs w:val="22"/>
                <w:vertAlign w:val="superscript"/>
                <w:lang w:val="en-GB"/>
              </w:rPr>
              <w:t>3</w:t>
            </w:r>
          </w:p>
          <w:p w:rsidR="00E37901" w:rsidRPr="004A7696" w:rsidRDefault="00E37901" w:rsidP="00C656D2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4A7696">
              <w:rPr>
                <w:bCs/>
                <w:sz w:val="22"/>
                <w:szCs w:val="22"/>
                <w:lang w:val="de-DE"/>
              </w:rPr>
              <w:t>28.1</w:t>
            </w:r>
            <w:r w:rsidRPr="004A7696">
              <w:rPr>
                <w:bCs/>
                <w:color w:val="FFFFFF" w:themeColor="background1"/>
                <w:sz w:val="22"/>
                <w:szCs w:val="22"/>
                <w:vertAlign w:val="superscript"/>
                <w:lang w:val="en-GB"/>
              </w:rPr>
              <w:t>3</w:t>
            </w:r>
          </w:p>
          <w:p w:rsidR="00E37901" w:rsidRPr="004A7696" w:rsidRDefault="00E37901" w:rsidP="00C656D2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4A7696">
              <w:rPr>
                <w:bCs/>
                <w:sz w:val="22"/>
                <w:szCs w:val="22"/>
                <w:lang w:val="de-DE"/>
              </w:rPr>
              <w:t>54.5</w:t>
            </w:r>
            <w:r w:rsidRPr="004A7696">
              <w:rPr>
                <w:bCs/>
                <w:color w:val="FFFFFF" w:themeColor="background1"/>
                <w:sz w:val="22"/>
                <w:szCs w:val="22"/>
                <w:vertAlign w:val="superscript"/>
                <w:lang w:val="en-GB"/>
              </w:rPr>
              <w:t>3</w:t>
            </w:r>
          </w:p>
          <w:p w:rsidR="00E37901" w:rsidRPr="004A7696" w:rsidRDefault="00E37901" w:rsidP="00C656D2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4A7696">
              <w:rPr>
                <w:bCs/>
                <w:sz w:val="22"/>
                <w:szCs w:val="22"/>
                <w:lang w:val="de-DE"/>
              </w:rPr>
              <w:t>48.8</w:t>
            </w:r>
          </w:p>
          <w:p w:rsidR="00E37901" w:rsidRPr="004A7696" w:rsidRDefault="00E37901" w:rsidP="00C656D2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4A7696">
              <w:rPr>
                <w:bCs/>
                <w:sz w:val="22"/>
                <w:szCs w:val="22"/>
                <w:lang w:val="de-DE"/>
              </w:rPr>
              <w:t>5.67</w:t>
            </w:r>
          </w:p>
          <w:p w:rsidR="00E37901" w:rsidRPr="004A7696" w:rsidRDefault="00E37901" w:rsidP="00C656D2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4A7696">
              <w:rPr>
                <w:bCs/>
                <w:sz w:val="22"/>
                <w:szCs w:val="22"/>
                <w:lang w:val="de-DE"/>
              </w:rPr>
              <w:t>8.65</w:t>
            </w:r>
          </w:p>
          <w:p w:rsidR="00E37901" w:rsidRPr="004A7696" w:rsidRDefault="00E37901" w:rsidP="00C656D2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4A7696">
              <w:rPr>
                <w:bCs/>
                <w:sz w:val="22"/>
                <w:szCs w:val="22"/>
                <w:lang w:val="de-DE"/>
              </w:rPr>
              <w:t>3.12</w:t>
            </w:r>
          </w:p>
        </w:tc>
        <w:tc>
          <w:tcPr>
            <w:tcW w:w="2225" w:type="dxa"/>
            <w:noWrap/>
            <w:hideMark/>
          </w:tcPr>
          <w:p w:rsidR="00E37901" w:rsidRPr="004A7696" w:rsidRDefault="00E37901" w:rsidP="00C656D2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4A7696">
              <w:rPr>
                <w:bCs/>
                <w:sz w:val="22"/>
                <w:szCs w:val="22"/>
                <w:lang w:val="de-DE"/>
              </w:rPr>
              <w:t>1.9</w:t>
            </w:r>
          </w:p>
          <w:p w:rsidR="00E37901" w:rsidRPr="004A7696" w:rsidRDefault="00E37901" w:rsidP="00C656D2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4A7696">
              <w:rPr>
                <w:bCs/>
                <w:sz w:val="22"/>
                <w:szCs w:val="22"/>
                <w:lang w:val="de-DE"/>
              </w:rPr>
              <w:t>30.4</w:t>
            </w:r>
          </w:p>
          <w:p w:rsidR="00E37901" w:rsidRPr="004A7696" w:rsidRDefault="00E37901" w:rsidP="00C656D2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4A7696">
              <w:rPr>
                <w:bCs/>
                <w:sz w:val="22"/>
                <w:szCs w:val="22"/>
                <w:lang w:val="de-DE"/>
              </w:rPr>
              <w:t>0.91</w:t>
            </w:r>
          </w:p>
          <w:p w:rsidR="00E37901" w:rsidRPr="004A7696" w:rsidRDefault="00E37901" w:rsidP="00C656D2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4A7696">
              <w:rPr>
                <w:bCs/>
                <w:sz w:val="22"/>
                <w:szCs w:val="22"/>
                <w:lang w:val="de-DE"/>
              </w:rPr>
              <w:t>12.1</w:t>
            </w:r>
          </w:p>
          <w:p w:rsidR="00E37901" w:rsidRPr="004A7696" w:rsidRDefault="00E37901" w:rsidP="00C656D2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4A7696">
              <w:rPr>
                <w:bCs/>
                <w:sz w:val="22"/>
                <w:szCs w:val="22"/>
                <w:lang w:val="de-DE"/>
              </w:rPr>
              <w:t>40.1</w:t>
            </w:r>
          </w:p>
          <w:p w:rsidR="00E37901" w:rsidRPr="004A7696" w:rsidRDefault="00E37901" w:rsidP="00C656D2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4A7696">
              <w:rPr>
                <w:bCs/>
                <w:sz w:val="22"/>
                <w:szCs w:val="22"/>
                <w:lang w:val="de-DE"/>
              </w:rPr>
              <w:t>1.4</w:t>
            </w:r>
          </w:p>
          <w:p w:rsidR="00E37901" w:rsidRPr="004A7696" w:rsidRDefault="00E37901" w:rsidP="00C656D2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4A7696">
              <w:rPr>
                <w:bCs/>
                <w:sz w:val="22"/>
                <w:szCs w:val="22"/>
                <w:lang w:val="de-DE"/>
              </w:rPr>
              <w:t>11.5</w:t>
            </w:r>
          </w:p>
          <w:p w:rsidR="00E37901" w:rsidRPr="004A7696" w:rsidRDefault="00E37901" w:rsidP="00C656D2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4A7696">
              <w:rPr>
                <w:bCs/>
                <w:sz w:val="22"/>
                <w:szCs w:val="22"/>
                <w:lang w:val="de-DE"/>
              </w:rPr>
              <w:t>0.71</w:t>
            </w:r>
          </w:p>
          <w:p w:rsidR="00E37901" w:rsidRPr="004A7696" w:rsidRDefault="00E37901" w:rsidP="00C656D2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4A7696">
              <w:rPr>
                <w:bCs/>
                <w:sz w:val="22"/>
                <w:szCs w:val="22"/>
                <w:lang w:val="de-DE"/>
              </w:rPr>
              <w:t>44.2</w:t>
            </w:r>
            <w:r w:rsidRPr="004A7696">
              <w:rPr>
                <w:bCs/>
                <w:color w:val="FFFFFF" w:themeColor="background1"/>
                <w:sz w:val="22"/>
                <w:szCs w:val="22"/>
                <w:vertAlign w:val="superscript"/>
                <w:lang w:val="en-GB"/>
              </w:rPr>
              <w:t>3</w:t>
            </w:r>
          </w:p>
          <w:p w:rsidR="00E37901" w:rsidRPr="004A7696" w:rsidRDefault="00E37901" w:rsidP="00C656D2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4A7696">
              <w:rPr>
                <w:bCs/>
                <w:sz w:val="22"/>
                <w:szCs w:val="22"/>
                <w:lang w:val="de-DE"/>
              </w:rPr>
              <w:t>43.2</w:t>
            </w:r>
            <w:r w:rsidRPr="004A7696">
              <w:rPr>
                <w:bCs/>
                <w:color w:val="FFFFFF" w:themeColor="background1"/>
                <w:sz w:val="22"/>
                <w:szCs w:val="22"/>
                <w:vertAlign w:val="superscript"/>
                <w:lang w:val="en-GB"/>
              </w:rPr>
              <w:t>3</w:t>
            </w:r>
          </w:p>
          <w:p w:rsidR="00E37901" w:rsidRPr="004A7696" w:rsidRDefault="00E37901" w:rsidP="00C656D2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4A7696">
              <w:rPr>
                <w:bCs/>
                <w:sz w:val="22"/>
                <w:szCs w:val="22"/>
                <w:lang w:val="de-DE"/>
              </w:rPr>
              <w:t>12.6</w:t>
            </w:r>
            <w:r w:rsidRPr="004A7696">
              <w:rPr>
                <w:bCs/>
                <w:color w:val="FFFFFF" w:themeColor="background1"/>
                <w:sz w:val="22"/>
                <w:szCs w:val="22"/>
                <w:vertAlign w:val="superscript"/>
                <w:lang w:val="en-GB"/>
              </w:rPr>
              <w:t>3</w:t>
            </w:r>
          </w:p>
          <w:p w:rsidR="00E37901" w:rsidRPr="004A7696" w:rsidRDefault="00E37901" w:rsidP="00C656D2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4A7696">
              <w:rPr>
                <w:bCs/>
                <w:sz w:val="22"/>
                <w:szCs w:val="22"/>
                <w:lang w:val="de-DE"/>
              </w:rPr>
              <w:t>11.6</w:t>
            </w:r>
          </w:p>
          <w:p w:rsidR="00E37901" w:rsidRPr="004A7696" w:rsidRDefault="00E37901" w:rsidP="00C656D2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4A7696">
              <w:rPr>
                <w:bCs/>
                <w:sz w:val="22"/>
                <w:szCs w:val="22"/>
                <w:lang w:val="de-DE"/>
              </w:rPr>
              <w:t>1.00</w:t>
            </w:r>
          </w:p>
          <w:p w:rsidR="00E37901" w:rsidRPr="004A7696" w:rsidRDefault="00E37901" w:rsidP="00C656D2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4A7696">
              <w:rPr>
                <w:bCs/>
                <w:sz w:val="22"/>
                <w:szCs w:val="22"/>
                <w:lang w:val="de-DE"/>
              </w:rPr>
              <w:t>11.68</w:t>
            </w:r>
          </w:p>
          <w:p w:rsidR="00E37901" w:rsidRPr="004A7696" w:rsidRDefault="00E37901" w:rsidP="00C656D2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4A7696">
              <w:rPr>
                <w:bCs/>
                <w:sz w:val="22"/>
                <w:szCs w:val="22"/>
                <w:lang w:val="de-DE"/>
              </w:rPr>
              <w:t>0.285</w:t>
            </w:r>
          </w:p>
        </w:tc>
      </w:tr>
    </w:tbl>
    <w:p w:rsidR="00562C33" w:rsidRPr="004A7696" w:rsidRDefault="00562C33" w:rsidP="00562C33">
      <w:pPr>
        <w:spacing w:line="360" w:lineRule="auto"/>
        <w:rPr>
          <w:sz w:val="22"/>
          <w:szCs w:val="22"/>
          <w:lang w:val="en-US"/>
        </w:rPr>
      </w:pPr>
    </w:p>
    <w:p w:rsidR="00562C33" w:rsidRPr="004A7696" w:rsidRDefault="00562C33" w:rsidP="00562C33">
      <w:pPr>
        <w:spacing w:line="360" w:lineRule="auto"/>
        <w:rPr>
          <w:sz w:val="22"/>
          <w:szCs w:val="22"/>
          <w:lang w:val="en-US"/>
        </w:rPr>
      </w:pPr>
    </w:p>
    <w:p w:rsidR="00562C33" w:rsidRPr="004A7696" w:rsidRDefault="00562C33" w:rsidP="00562C33">
      <w:pPr>
        <w:spacing w:line="360" w:lineRule="auto"/>
        <w:rPr>
          <w:sz w:val="22"/>
          <w:szCs w:val="22"/>
          <w:lang w:val="en-US"/>
        </w:rPr>
      </w:pPr>
    </w:p>
    <w:p w:rsidR="00562C33" w:rsidRPr="004A7696" w:rsidRDefault="00562C33" w:rsidP="00562C33">
      <w:pPr>
        <w:spacing w:line="360" w:lineRule="auto"/>
        <w:rPr>
          <w:sz w:val="22"/>
          <w:szCs w:val="22"/>
          <w:lang w:val="en-US"/>
        </w:rPr>
      </w:pPr>
    </w:p>
    <w:p w:rsidR="00562C33" w:rsidRPr="004A7696" w:rsidRDefault="00562C33" w:rsidP="00562C33">
      <w:pPr>
        <w:spacing w:line="360" w:lineRule="auto"/>
        <w:rPr>
          <w:sz w:val="22"/>
          <w:szCs w:val="22"/>
          <w:lang w:val="en-US"/>
        </w:rPr>
      </w:pPr>
    </w:p>
    <w:p w:rsidR="00562C33" w:rsidRPr="004A7696" w:rsidRDefault="00562C33" w:rsidP="00562C33">
      <w:pPr>
        <w:spacing w:line="360" w:lineRule="auto"/>
        <w:rPr>
          <w:sz w:val="22"/>
          <w:szCs w:val="22"/>
          <w:lang w:val="en-US"/>
        </w:rPr>
      </w:pPr>
    </w:p>
    <w:p w:rsidR="00562C33" w:rsidRPr="004A7696" w:rsidRDefault="00562C33" w:rsidP="00562C33">
      <w:pPr>
        <w:spacing w:line="360" w:lineRule="auto"/>
        <w:rPr>
          <w:sz w:val="22"/>
          <w:szCs w:val="22"/>
          <w:lang w:val="en-US"/>
        </w:rPr>
      </w:pPr>
    </w:p>
    <w:p w:rsidR="00562C33" w:rsidRPr="004A7696" w:rsidRDefault="00562C33" w:rsidP="00562C33">
      <w:pPr>
        <w:spacing w:line="360" w:lineRule="auto"/>
        <w:rPr>
          <w:sz w:val="22"/>
          <w:szCs w:val="22"/>
          <w:lang w:val="en-US"/>
        </w:rPr>
      </w:pPr>
    </w:p>
    <w:p w:rsidR="00562C33" w:rsidRPr="004A7696" w:rsidRDefault="00562C33" w:rsidP="00562C33">
      <w:pPr>
        <w:spacing w:line="360" w:lineRule="auto"/>
        <w:rPr>
          <w:sz w:val="22"/>
          <w:szCs w:val="22"/>
          <w:lang w:val="en-US"/>
        </w:rPr>
      </w:pPr>
    </w:p>
    <w:p w:rsidR="00562C33" w:rsidRPr="004A7696" w:rsidRDefault="00562C33" w:rsidP="00562C33">
      <w:pPr>
        <w:spacing w:line="360" w:lineRule="auto"/>
        <w:rPr>
          <w:sz w:val="22"/>
          <w:szCs w:val="22"/>
          <w:lang w:val="en-US"/>
        </w:rPr>
      </w:pPr>
    </w:p>
    <w:p w:rsidR="00562C33" w:rsidRPr="004A7696" w:rsidRDefault="00562C33" w:rsidP="00562C33">
      <w:pPr>
        <w:spacing w:line="360" w:lineRule="auto"/>
        <w:rPr>
          <w:sz w:val="22"/>
          <w:szCs w:val="22"/>
          <w:lang w:val="en-US"/>
        </w:rPr>
      </w:pPr>
    </w:p>
    <w:p w:rsidR="00562C33" w:rsidRPr="004A7696" w:rsidRDefault="00562C33" w:rsidP="00562C33">
      <w:pPr>
        <w:spacing w:line="360" w:lineRule="auto"/>
        <w:rPr>
          <w:sz w:val="22"/>
          <w:szCs w:val="22"/>
          <w:lang w:val="en-US"/>
        </w:rPr>
      </w:pPr>
    </w:p>
    <w:p w:rsidR="00562C33" w:rsidRPr="004A7696" w:rsidRDefault="00562C33" w:rsidP="00562C33">
      <w:pPr>
        <w:spacing w:line="360" w:lineRule="auto"/>
        <w:rPr>
          <w:sz w:val="22"/>
          <w:szCs w:val="22"/>
          <w:lang w:val="en-US"/>
        </w:rPr>
      </w:pPr>
    </w:p>
    <w:p w:rsidR="00562C33" w:rsidRPr="004A7696" w:rsidRDefault="00562C33" w:rsidP="00562C33">
      <w:pPr>
        <w:spacing w:line="360" w:lineRule="auto"/>
        <w:rPr>
          <w:sz w:val="22"/>
          <w:szCs w:val="22"/>
          <w:vertAlign w:val="superscript"/>
          <w:lang w:val="en-GB"/>
        </w:rPr>
      </w:pPr>
      <w:r w:rsidRPr="004A7696">
        <w:rPr>
          <w:sz w:val="22"/>
          <w:szCs w:val="22"/>
          <w:vertAlign w:val="superscript"/>
          <w:lang w:val="en-GB"/>
        </w:rPr>
        <w:t>1</w:t>
      </w:r>
      <w:r w:rsidRPr="004A7696">
        <w:rPr>
          <w:sz w:val="22"/>
          <w:szCs w:val="22"/>
          <w:lang w:val="en-GB"/>
        </w:rPr>
        <w:t xml:space="preserve">Values </w:t>
      </w:r>
      <w:proofErr w:type="gramStart"/>
      <w:r w:rsidRPr="004A7696">
        <w:rPr>
          <w:sz w:val="22"/>
          <w:szCs w:val="22"/>
          <w:lang w:val="en-GB"/>
        </w:rPr>
        <w:t>are based</w:t>
      </w:r>
      <w:proofErr w:type="gramEnd"/>
      <w:r w:rsidRPr="004A7696">
        <w:rPr>
          <w:sz w:val="22"/>
          <w:szCs w:val="22"/>
          <w:lang w:val="en-GB"/>
        </w:rPr>
        <w:t xml:space="preserve"> on identifiable peaks.</w:t>
      </w:r>
      <w:r w:rsidRPr="004A7696">
        <w:rPr>
          <w:sz w:val="22"/>
          <w:szCs w:val="22"/>
          <w:vertAlign w:val="superscript"/>
          <w:lang w:val="en-GB"/>
        </w:rPr>
        <w:t xml:space="preserve"> </w:t>
      </w:r>
    </w:p>
    <w:p w:rsidR="00562C33" w:rsidRPr="004A7696" w:rsidRDefault="00562C33" w:rsidP="00562C33">
      <w:pPr>
        <w:spacing w:line="360" w:lineRule="auto"/>
        <w:rPr>
          <w:sz w:val="22"/>
          <w:szCs w:val="22"/>
          <w:lang w:val="en-GB"/>
        </w:rPr>
      </w:pPr>
      <w:r w:rsidRPr="004A7696">
        <w:rPr>
          <w:sz w:val="22"/>
          <w:szCs w:val="22"/>
          <w:vertAlign w:val="superscript"/>
          <w:lang w:val="en-GB"/>
        </w:rPr>
        <w:t>2</w:t>
      </w:r>
      <w:r w:rsidRPr="004A7696">
        <w:rPr>
          <w:sz w:val="22"/>
          <w:szCs w:val="22"/>
          <w:lang w:val="en-GB"/>
        </w:rPr>
        <w:t xml:space="preserve">MUFA: monounsaturated fatty acids; PUFA: polyunsaturated fatty acids; SFA: saturated fatty acids. </w:t>
      </w:r>
    </w:p>
    <w:p w:rsidR="00455F84" w:rsidRDefault="00455F84">
      <w:pPr>
        <w:spacing w:after="200" w:line="276" w:lineRule="auto"/>
        <w:rPr>
          <w:sz w:val="22"/>
          <w:szCs w:val="22"/>
          <w:lang w:val="en-GB"/>
        </w:rPr>
        <w:sectPr w:rsidR="00455F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12657" w:rsidRDefault="004621BD">
      <w:pPr>
        <w:spacing w:after="200" w:line="276" w:lineRule="auto"/>
        <w:rPr>
          <w:sz w:val="22"/>
          <w:szCs w:val="22"/>
          <w:lang w:val="en-GB"/>
        </w:rPr>
      </w:pPr>
      <w:r w:rsidRPr="004621BD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61F0D1D" wp14:editId="50470B38">
            <wp:simplePos x="0" y="0"/>
            <wp:positionH relativeFrom="margin">
              <wp:posOffset>342900</wp:posOffset>
            </wp:positionH>
            <wp:positionV relativeFrom="paragraph">
              <wp:posOffset>-633095</wp:posOffset>
            </wp:positionV>
            <wp:extent cx="7905750" cy="4729119"/>
            <wp:effectExtent l="0" t="0" r="0" b="0"/>
            <wp:wrapNone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472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1B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F751A0" wp14:editId="710367C6">
                <wp:simplePos x="0" y="0"/>
                <wp:positionH relativeFrom="column">
                  <wp:posOffset>107315</wp:posOffset>
                </wp:positionH>
                <wp:positionV relativeFrom="paragraph">
                  <wp:posOffset>9314815</wp:posOffset>
                </wp:positionV>
                <wp:extent cx="7704856" cy="1446550"/>
                <wp:effectExtent l="0" t="0" r="0" b="0"/>
                <wp:wrapNone/>
                <wp:docPr id="2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4856" cy="1446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621BD" w:rsidRDefault="004621BD" w:rsidP="004621B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Supplementary Figure S1: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Time-evolution of individual and total monounsaturated fatty acids in mitochondrial phospholipids in rats fed control or HFHFR diets for 4 to 20 weeks. </w:t>
                            </w:r>
                          </w:p>
                          <w:p w:rsidR="004621BD" w:rsidRDefault="004621BD" w:rsidP="004621B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Results were expressed as means ± SD, n=6–8 animals per group per treatment duration. All the groups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were tested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for the effects of diet, treatment duration, and their interaction by two-way ANOVA test. When the effects of diet, treatment duration or their interaction were significant, one-way ANOVA test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was applied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to analyze the effect of treatment duration for each diet followed up by a Fisher's Least Significant Difference test, and the unpaired student’s t-test was used to analyze the effect of HFHFR diet within each treatment duration point. The limit of statistical significance was set at p&lt;0.05. HFHFR diet vs control diet: *p&lt;0.05, **p&lt;0.005, ***p&lt;0.0005. Inside the same diet, over treatment durations, the means with different letters (a, b, c, d,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) are significantly different.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751A0" id="Rectangle 7" o:spid="_x0000_s1026" style="position:absolute;margin-left:8.45pt;margin-top:733.45pt;width:606.7pt;height:113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" filled="f" stroked="f">
                <v:textbox style="mso-fit-shape-to-text:t">
                  <w:txbxContent>
                    <w:p w:rsidR="004621BD" w:rsidRDefault="004621BD" w:rsidP="004621BD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Supplementary Figure S1: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Time-evolution of individual and total monounsaturated fatty acids in mitochondrial phospholipids in rats fed control or HFHFR diets for 4 to 20 weeks. </w:t>
                      </w:r>
                    </w:p>
                    <w:p w:rsidR="004621BD" w:rsidRDefault="004621BD" w:rsidP="004621BD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Results were expressed as means ± SD, n=6–8 animals per group per treatment duration. All the groups </w:t>
                      </w:r>
                      <w:proofErr w:type="gramStart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were tested</w:t>
                      </w:r>
                      <w:proofErr w:type="gramEnd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for the effects of diet, treatment duration, and their interaction by two-way ANOVA test. When the effects of diet, treatment duration or their interaction were significant, one-way ANOVA test </w:t>
                      </w:r>
                      <w:proofErr w:type="gramStart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was applied</w:t>
                      </w:r>
                      <w:proofErr w:type="gramEnd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to analyze the effect of treatment duration for each diet followed up by a Fisher's Least Significant Difference test, and the unpaired student’s t-test was used to analyze the effect of HFHFR diet within each treatment duration point. The limit of statistical significance was set at p&lt;0.05. HFHFR diet vs control diet: *p&lt;0.05, **p&lt;0.005, ***p&lt;0.0005. Inside the same diet, over treatment durations, the means with different letters (a, b, c, d, </w:t>
                      </w:r>
                      <w:proofErr w:type="gramStart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e</w:t>
                      </w:r>
                      <w:proofErr w:type="gramEnd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) are significantly different. </w:t>
                      </w:r>
                    </w:p>
                  </w:txbxContent>
                </v:textbox>
              </v:rect>
            </w:pict>
          </mc:Fallback>
        </mc:AlternateContent>
      </w:r>
    </w:p>
    <w:p w:rsidR="00B12657" w:rsidRDefault="00B12657">
      <w:pPr>
        <w:spacing w:after="200" w:line="276" w:lineRule="auto"/>
        <w:rPr>
          <w:sz w:val="22"/>
          <w:szCs w:val="22"/>
          <w:lang w:val="en-GB"/>
        </w:rPr>
      </w:pPr>
    </w:p>
    <w:p w:rsidR="00B12657" w:rsidRDefault="00B12657">
      <w:pPr>
        <w:spacing w:after="200" w:line="276" w:lineRule="auto"/>
        <w:rPr>
          <w:sz w:val="22"/>
          <w:szCs w:val="22"/>
          <w:lang w:val="en-GB"/>
        </w:rPr>
      </w:pPr>
    </w:p>
    <w:p w:rsidR="00B12657" w:rsidRDefault="00B12657">
      <w:pPr>
        <w:spacing w:after="200" w:line="276" w:lineRule="auto"/>
        <w:rPr>
          <w:sz w:val="22"/>
          <w:szCs w:val="22"/>
          <w:lang w:val="en-GB"/>
        </w:rPr>
      </w:pPr>
    </w:p>
    <w:p w:rsidR="00B12657" w:rsidRDefault="00B12657">
      <w:pPr>
        <w:spacing w:after="200" w:line="276" w:lineRule="auto"/>
        <w:rPr>
          <w:sz w:val="22"/>
          <w:szCs w:val="22"/>
          <w:lang w:val="en-GB"/>
        </w:rPr>
      </w:pPr>
    </w:p>
    <w:p w:rsidR="00B12657" w:rsidRDefault="00B12657">
      <w:pPr>
        <w:spacing w:after="200" w:line="276" w:lineRule="auto"/>
        <w:rPr>
          <w:sz w:val="22"/>
          <w:szCs w:val="22"/>
          <w:lang w:val="en-GB"/>
        </w:rPr>
      </w:pPr>
    </w:p>
    <w:p w:rsidR="00B12657" w:rsidRDefault="00B12657">
      <w:pPr>
        <w:spacing w:after="200" w:line="276" w:lineRule="auto"/>
        <w:rPr>
          <w:sz w:val="22"/>
          <w:szCs w:val="22"/>
          <w:lang w:val="en-GB"/>
        </w:rPr>
      </w:pPr>
    </w:p>
    <w:p w:rsidR="00B12657" w:rsidRDefault="00B12657">
      <w:pPr>
        <w:spacing w:after="200" w:line="276" w:lineRule="auto"/>
        <w:rPr>
          <w:sz w:val="22"/>
          <w:szCs w:val="22"/>
          <w:lang w:val="en-GB"/>
        </w:rPr>
      </w:pPr>
    </w:p>
    <w:p w:rsidR="00B12657" w:rsidRDefault="00B12657">
      <w:pPr>
        <w:spacing w:after="200" w:line="276" w:lineRule="auto"/>
        <w:rPr>
          <w:sz w:val="22"/>
          <w:szCs w:val="22"/>
          <w:lang w:val="en-GB"/>
        </w:rPr>
      </w:pPr>
    </w:p>
    <w:p w:rsidR="00B12657" w:rsidRDefault="00B12657">
      <w:pPr>
        <w:spacing w:after="200" w:line="276" w:lineRule="auto"/>
        <w:rPr>
          <w:sz w:val="22"/>
          <w:szCs w:val="22"/>
          <w:lang w:val="en-GB"/>
        </w:rPr>
      </w:pPr>
    </w:p>
    <w:p w:rsidR="00B12657" w:rsidRDefault="00B12657">
      <w:pPr>
        <w:spacing w:after="200" w:line="276" w:lineRule="auto"/>
        <w:rPr>
          <w:sz w:val="22"/>
          <w:szCs w:val="22"/>
          <w:lang w:val="en-GB"/>
        </w:rPr>
      </w:pPr>
    </w:p>
    <w:p w:rsidR="00B12657" w:rsidRDefault="00B12657">
      <w:pPr>
        <w:spacing w:after="200" w:line="276" w:lineRule="auto"/>
        <w:rPr>
          <w:sz w:val="22"/>
          <w:szCs w:val="22"/>
          <w:lang w:val="en-GB"/>
        </w:rPr>
      </w:pPr>
    </w:p>
    <w:p w:rsidR="00B12657" w:rsidRDefault="00B12657">
      <w:pPr>
        <w:spacing w:after="200" w:line="276" w:lineRule="auto"/>
        <w:rPr>
          <w:sz w:val="22"/>
          <w:szCs w:val="22"/>
          <w:lang w:val="en-GB"/>
        </w:rPr>
      </w:pPr>
    </w:p>
    <w:p w:rsidR="00B12657" w:rsidRDefault="004621BD">
      <w:pPr>
        <w:spacing w:after="200" w:line="276" w:lineRule="auto"/>
        <w:rPr>
          <w:sz w:val="22"/>
          <w:szCs w:val="22"/>
          <w:lang w:val="en-GB"/>
        </w:rPr>
      </w:pPr>
      <w:bookmarkStart w:id="0" w:name="_GoBack"/>
      <w:r>
        <w:rPr>
          <w:noProof/>
          <w:sz w:val="22"/>
          <w:szCs w:val="22"/>
        </w:rPr>
        <w:drawing>
          <wp:inline distT="0" distB="0" distL="0" distR="0" wp14:anchorId="1BA9C073" wp14:editId="5A48BB17">
            <wp:extent cx="8372475" cy="1481455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475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B12657" w:rsidRDefault="00A073C1">
      <w:pPr>
        <w:spacing w:after="200" w:line="276" w:lineRule="auto"/>
        <w:rPr>
          <w:sz w:val="22"/>
          <w:szCs w:val="22"/>
          <w:lang w:val="en-GB"/>
        </w:rPr>
      </w:pPr>
      <w:r w:rsidRPr="00A073C1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623673E2" wp14:editId="5E088F6C">
            <wp:simplePos x="0" y="0"/>
            <wp:positionH relativeFrom="column">
              <wp:posOffset>1678305</wp:posOffset>
            </wp:positionH>
            <wp:positionV relativeFrom="paragraph">
              <wp:posOffset>-271145</wp:posOffset>
            </wp:positionV>
            <wp:extent cx="5011737" cy="5310187"/>
            <wp:effectExtent l="0" t="0" r="0" b="0"/>
            <wp:wrapNone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737" cy="531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B12657" w:rsidRDefault="00B12657">
      <w:pPr>
        <w:spacing w:after="200" w:line="276" w:lineRule="auto"/>
        <w:rPr>
          <w:sz w:val="22"/>
          <w:szCs w:val="22"/>
          <w:lang w:val="en-GB"/>
        </w:rPr>
      </w:pPr>
    </w:p>
    <w:p w:rsidR="00B12657" w:rsidRDefault="00B12657">
      <w:pPr>
        <w:spacing w:after="200" w:line="276" w:lineRule="auto"/>
        <w:rPr>
          <w:sz w:val="22"/>
          <w:szCs w:val="22"/>
          <w:lang w:val="en-GB"/>
        </w:rPr>
      </w:pPr>
    </w:p>
    <w:p w:rsidR="00B12657" w:rsidRDefault="00B12657">
      <w:pPr>
        <w:spacing w:after="200" w:line="276" w:lineRule="auto"/>
        <w:rPr>
          <w:sz w:val="22"/>
          <w:szCs w:val="22"/>
          <w:lang w:val="en-GB"/>
        </w:rPr>
      </w:pPr>
    </w:p>
    <w:p w:rsidR="00B12657" w:rsidRDefault="00B12657">
      <w:pPr>
        <w:spacing w:after="200" w:line="276" w:lineRule="auto"/>
        <w:rPr>
          <w:sz w:val="22"/>
          <w:szCs w:val="22"/>
          <w:lang w:val="en-GB"/>
        </w:rPr>
      </w:pPr>
    </w:p>
    <w:p w:rsidR="00B12657" w:rsidRDefault="00B12657">
      <w:pPr>
        <w:spacing w:after="200" w:line="276" w:lineRule="auto"/>
        <w:rPr>
          <w:sz w:val="22"/>
          <w:szCs w:val="22"/>
          <w:lang w:val="en-GB"/>
        </w:rPr>
      </w:pPr>
    </w:p>
    <w:p w:rsidR="00B12657" w:rsidRDefault="00B12657">
      <w:pPr>
        <w:spacing w:after="200" w:line="276" w:lineRule="auto"/>
        <w:rPr>
          <w:sz w:val="22"/>
          <w:szCs w:val="22"/>
          <w:lang w:val="en-GB"/>
        </w:rPr>
      </w:pPr>
    </w:p>
    <w:p w:rsidR="00B12657" w:rsidRDefault="00B12657">
      <w:pPr>
        <w:spacing w:after="200" w:line="276" w:lineRule="auto"/>
        <w:rPr>
          <w:sz w:val="22"/>
          <w:szCs w:val="22"/>
          <w:lang w:val="en-GB"/>
        </w:rPr>
      </w:pPr>
    </w:p>
    <w:p w:rsidR="00B12657" w:rsidRDefault="00B12657">
      <w:pPr>
        <w:spacing w:after="200" w:line="276" w:lineRule="auto"/>
        <w:rPr>
          <w:sz w:val="22"/>
          <w:szCs w:val="22"/>
          <w:lang w:val="en-GB"/>
        </w:rPr>
      </w:pPr>
    </w:p>
    <w:p w:rsidR="00B12657" w:rsidRDefault="00B12657">
      <w:pPr>
        <w:spacing w:after="200" w:line="276" w:lineRule="auto"/>
        <w:rPr>
          <w:sz w:val="22"/>
          <w:szCs w:val="22"/>
          <w:lang w:val="en-GB"/>
        </w:rPr>
      </w:pPr>
    </w:p>
    <w:p w:rsidR="00B12657" w:rsidRDefault="00B12657">
      <w:pPr>
        <w:spacing w:after="200" w:line="276" w:lineRule="auto"/>
        <w:rPr>
          <w:sz w:val="22"/>
          <w:szCs w:val="22"/>
          <w:lang w:val="en-GB"/>
        </w:rPr>
      </w:pPr>
    </w:p>
    <w:p w:rsidR="00BB7813" w:rsidRPr="004A7696" w:rsidRDefault="00791841">
      <w:pPr>
        <w:spacing w:after="200" w:line="276" w:lineRule="auto"/>
        <w:rPr>
          <w:sz w:val="22"/>
          <w:szCs w:val="22"/>
          <w:lang w:val="en-GB"/>
        </w:rPr>
      </w:pPr>
      <w:r w:rsidRPr="0079184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20584C" wp14:editId="43E810CF">
                <wp:simplePos x="0" y="0"/>
                <wp:positionH relativeFrom="column">
                  <wp:posOffset>1138555</wp:posOffset>
                </wp:positionH>
                <wp:positionV relativeFrom="paragraph">
                  <wp:posOffset>1671955</wp:posOffset>
                </wp:positionV>
                <wp:extent cx="5938025" cy="1107996"/>
                <wp:effectExtent l="0" t="0" r="0" b="0"/>
                <wp:wrapNone/>
                <wp:docPr id="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025" cy="110799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1841" w:rsidRDefault="00791841" w:rsidP="0079184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Supplementary Figure S2: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The percent of time-evolution changes in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hepatic steatosis and mitochondrial parameters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in rats fed HFHFR diets for 4 to 20 weeks. </w:t>
                            </w:r>
                          </w:p>
                          <w:p w:rsidR="00791841" w:rsidRDefault="00791841" w:rsidP="0079184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This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graphic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evolution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hepatic steatosis and mitochondrial parameters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was drawn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to facilitate the visual observation of installation and progression of hepatic steatosis in the high fat-high fructose diet-fed rats. It shows that these parameters evolve at the same time and thus it is difficult to say whether mitochondrial dysfunction precedes or follows the hepatic steatosis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in rats fed HFHFR diets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0584C" id="Rectangle 6" o:spid="_x0000_s1027" style="position:absolute;margin-left:89.65pt;margin-top:131.65pt;width:467.55pt;height:8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" filled="f" stroked="f">
                <v:textbox style="mso-fit-shape-to-text:t">
                  <w:txbxContent>
                    <w:p w:rsidR="00791841" w:rsidRDefault="00791841" w:rsidP="00791841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Supplementary Figure S2: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The percent of time-evolution changes in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hepatic steatosis and mitochondrial parameters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in rats fed HFHFR diets for 4 to 20 weeks. </w:t>
                      </w:r>
                    </w:p>
                    <w:p w:rsidR="00791841" w:rsidRDefault="00791841" w:rsidP="00791841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This 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graphic</w:t>
                      </w:r>
                      <w:proofErr w:type="spellEnd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evolution</w:t>
                      </w:r>
                      <w:proofErr w:type="spellEnd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of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hepatic steatosis and mitochondrial parameters </w:t>
                      </w:r>
                      <w:proofErr w:type="gramStart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was drawn</w:t>
                      </w:r>
                      <w:proofErr w:type="gramEnd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to facilitate the visual observation of installation and progression of hepatic steatosis in the high fat-high fructose diet-fed rats. It shows that these parameters evolve at the same time and thus it is difficult to say whether mitochondrial dysfunction precedes or follows the hepatic steatosis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in rats fed HFHFR diets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073C1" w:rsidRPr="00A073C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BA98C" wp14:editId="59444024">
                <wp:simplePos x="0" y="0"/>
                <wp:positionH relativeFrom="column">
                  <wp:posOffset>633730</wp:posOffset>
                </wp:positionH>
                <wp:positionV relativeFrom="paragraph">
                  <wp:posOffset>6480175</wp:posOffset>
                </wp:positionV>
                <wp:extent cx="5938025" cy="1107996"/>
                <wp:effectExtent l="0" t="0" r="0" b="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025" cy="110799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73C1" w:rsidRDefault="00A073C1" w:rsidP="00A073C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Supplementary Figure S2: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The percent of time-evolution changes in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hepatic steatosis and mitochondrial parameters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in rats fed HFHFR diets for 4 to 20 weeks. </w:t>
                            </w:r>
                          </w:p>
                          <w:p w:rsidR="00A073C1" w:rsidRDefault="00A073C1" w:rsidP="00A073C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This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graphic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evolution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hepatic steatosis and mitochondrial parameters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was drawn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to facilitate the visual observation of installation and progression of hepatic steatosis in the high fat-high fructose diet-fed rats. It shows that these parameters evolve at the same time and thus it is difficult to say whether mitochondrial dysfunction precedes or follows the hepatic steatosis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in rats fed HFHFR diets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BA98C" id="_x0000_s1028" style="position:absolute;margin-left:49.9pt;margin-top:510.25pt;width:467.55pt;height:8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" filled="f" stroked="f">
                <v:textbox style="mso-fit-shape-to-text:t">
                  <w:txbxContent>
                    <w:p w:rsidR="00A073C1" w:rsidRDefault="00A073C1" w:rsidP="00A073C1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Supplementary Figure S2: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The percent of time-evolution changes in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hepatic steatosis and mitochondrial parameters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in rats fed HFHFR diets for 4 to 20 weeks. </w:t>
                      </w:r>
                    </w:p>
                    <w:p w:rsidR="00A073C1" w:rsidRDefault="00A073C1" w:rsidP="00A073C1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This 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graphic</w:t>
                      </w:r>
                      <w:proofErr w:type="spellEnd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evolution</w:t>
                      </w:r>
                      <w:proofErr w:type="spellEnd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of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hepatic steatosis and mitochondrial parameters </w:t>
                      </w:r>
                      <w:proofErr w:type="gramStart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was drawn</w:t>
                      </w:r>
                      <w:proofErr w:type="gramEnd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to facilitate the visual observation of installation and progression of hepatic steatosis in the high fat-high fructose diet-fed rats. It shows that these parameters evolve at the same time and thus it is difficult to say whether mitochondrial dysfunction precedes or follows the hepatic steatosis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in rats fed HFHFR diets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C2720E" w:rsidRPr="00C2720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34956" wp14:editId="3C01351F">
                <wp:simplePos x="0" y="0"/>
                <wp:positionH relativeFrom="column">
                  <wp:posOffset>1374140</wp:posOffset>
                </wp:positionH>
                <wp:positionV relativeFrom="paragraph">
                  <wp:posOffset>9695815</wp:posOffset>
                </wp:positionV>
                <wp:extent cx="7704455" cy="1446530"/>
                <wp:effectExtent l="0" t="0" r="0" b="0"/>
                <wp:wrapNone/>
                <wp:docPr id="1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4455" cy="1446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2720E" w:rsidRDefault="00C2720E" w:rsidP="00C2720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Supplementary Figure S1: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Time-evolution of individual and total monounsaturated fatty acids in mitochondrial phospholipids in rats fed control or HFHFR diets for 4 to 20 weeks. </w:t>
                            </w:r>
                          </w:p>
                          <w:p w:rsidR="00C2720E" w:rsidRDefault="00C2720E" w:rsidP="00C2720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Results were expressed as means ± SD, n=6–8 animals per group per treatment duration. All the groups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were tested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for the effects of diet, treatment duration, and their interaction by two-way ANOVA test. When the effects of diet, treatment duration or their interaction were significant, one-way ANOVA test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was applied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to analyze the effect of treatment duration for each diet followed up by a Fisher's Least Significant Difference test, and the unpaired student’s t-test was used to analyze the effect of HFHFR diet within each treatment duration point. The limit of statistical significance was set at p&lt;0.05. HFHFR diet vs control diet: *p&lt;0.05, **p&lt;0.005, ***p&lt;0.0005. Inside the same diet, over treatment durations, the means with different letters (a, b, c, d,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) are significantly different.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634956" id="_x0000_s1029" style="position:absolute;margin-left:108.2pt;margin-top:763.45pt;width:606.65pt;height:113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" filled="f" stroked="f">
                <v:textbox style="mso-fit-shape-to-text:t">
                  <w:txbxContent>
                    <w:p w:rsidR="00C2720E" w:rsidRDefault="00C2720E" w:rsidP="00C2720E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Supplementary Figure S1: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Time-evolution of individual and total monounsaturated fatty acids in mitochondrial phospholipids in rats fed control or HFHFR diets for 4 to 20 weeks. </w:t>
                      </w:r>
                    </w:p>
                    <w:p w:rsidR="00C2720E" w:rsidRDefault="00C2720E" w:rsidP="00C2720E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Results were expressed as means ± SD, n=6–8 animals per group per treatment duration. All the groups </w:t>
                      </w:r>
                      <w:proofErr w:type="gramStart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were tested</w:t>
                      </w:r>
                      <w:proofErr w:type="gramEnd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for the effects of diet, treatment duration, and their interaction by two-way ANOVA test. When the effects of diet, treatment duration or their interaction were significant, one-way ANOVA test </w:t>
                      </w:r>
                      <w:proofErr w:type="gramStart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was applied</w:t>
                      </w:r>
                      <w:proofErr w:type="gramEnd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to analyze the effect of treatment duration for each diet followed up by a Fisher's Least Significant Difference test, and the unpaired student’s t-test was used to analyze the effect of HFHFR diet within each treatment duration point. The limit of statistical significance was set at p&lt;0.05. HFHFR diet vs control diet: *p&lt;0.05, **p&lt;0.005, ***p&lt;0.0005. Inside the same diet, over treatment durations, the means with different letters (a, b, c, d, </w:t>
                      </w:r>
                      <w:proofErr w:type="gramStart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e</w:t>
                      </w:r>
                      <w:proofErr w:type="gramEnd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) are significantly different. </w:t>
                      </w:r>
                    </w:p>
                  </w:txbxContent>
                </v:textbox>
              </v:rect>
            </w:pict>
          </mc:Fallback>
        </mc:AlternateContent>
      </w:r>
      <w:r w:rsidR="00455F8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1585A" wp14:editId="520746BE">
                <wp:simplePos x="0" y="0"/>
                <wp:positionH relativeFrom="column">
                  <wp:posOffset>1412240</wp:posOffset>
                </wp:positionH>
                <wp:positionV relativeFrom="paragraph">
                  <wp:posOffset>10210165</wp:posOffset>
                </wp:positionV>
                <wp:extent cx="7704856" cy="1446550"/>
                <wp:effectExtent l="0" t="0" r="0" b="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4856" cy="1446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55F84" w:rsidRDefault="00455F84" w:rsidP="00455F8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Supplementary Figure S1: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Time-evolution of individual and total monounsaturated fatty acids in mitochondrial phospholipids in rats fed control or HFHFR diets for 4 to 20 weeks. </w:t>
                            </w:r>
                          </w:p>
                          <w:p w:rsidR="00455F84" w:rsidRDefault="00455F84" w:rsidP="00455F8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Results were expressed as means ± SD, n=6–8 animals per group per treatment duration. All the groups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were tested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for the effects of diet, treatment duration, and their interaction by two-way ANOVA test. When the effects of diet, treatment duration or their interaction were significant, one-way ANOVA test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was applied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to analyze the effect of treatment duration for each diet followed up by a Fisher's Least Significant Difference test, and the unpaired student’s t-test was used to analyze the effect of HFHFR diet within each treatment duration point. The limit of statistical significance was set at p&lt;0.05. HFHFR diet vs control diet: *p&lt;0.05, **p&lt;0.005, ***p&lt;0.0005. Inside the same diet, over treatment durations, the means with different letters (a, b, c, d,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) are significantly different.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E1585A" id="_x0000_s1030" style="position:absolute;margin-left:111.2pt;margin-top:803.95pt;width:606.7pt;height:11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" filled="f" stroked="f">
                <v:textbox style="mso-fit-shape-to-text:t">
                  <w:txbxContent>
                    <w:p w:rsidR="00455F84" w:rsidRDefault="00455F84" w:rsidP="00455F84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Supplementary Figure S1: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Time-evolution of individual and total monounsaturated fatty acids in mitochondrial phospholipids in rats fed control or HFHFR diets for 4 to 20 weeks. </w:t>
                      </w:r>
                    </w:p>
                    <w:p w:rsidR="00455F84" w:rsidRDefault="00455F84" w:rsidP="00455F84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Results were expressed as means ± SD, n=6–8 animals per group per treatment duration. All the groups </w:t>
                      </w:r>
                      <w:proofErr w:type="gramStart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were tested</w:t>
                      </w:r>
                      <w:proofErr w:type="gramEnd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for the effects of diet, treatment duration, and their interaction by two-way ANOVA test. When the effects of diet, treatment duration or their interaction were significant, one-way ANOVA test </w:t>
                      </w:r>
                      <w:proofErr w:type="gramStart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was applied</w:t>
                      </w:r>
                      <w:proofErr w:type="gramEnd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to analyze the effect of treatment duration for each diet followed up by a Fisher's Least Significant Difference test, and the unpaired student’s t-test was used to analyze the effect of HFHFR diet within each treatment duration point. The limit of statistical significance was set at p&lt;0.05. HFHFR diet vs control diet: *p&lt;0.05, **p&lt;0.005, ***p&lt;0.0005. Inside the same diet, over treatment durations, the means with different letters (a, b, c, d, </w:t>
                      </w:r>
                      <w:proofErr w:type="gramStart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e</w:t>
                      </w:r>
                      <w:proofErr w:type="gramEnd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) are significantly different.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BB7813" w:rsidRPr="004A7696" w:rsidSect="00455F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55"/>
    <w:rsid w:val="000A4F21"/>
    <w:rsid w:val="000D3A77"/>
    <w:rsid w:val="00170B1C"/>
    <w:rsid w:val="001D6FF2"/>
    <w:rsid w:val="002875AB"/>
    <w:rsid w:val="0041392E"/>
    <w:rsid w:val="00455F84"/>
    <w:rsid w:val="004621BD"/>
    <w:rsid w:val="004805F1"/>
    <w:rsid w:val="004A7696"/>
    <w:rsid w:val="00562C33"/>
    <w:rsid w:val="005E5DAC"/>
    <w:rsid w:val="006F13F9"/>
    <w:rsid w:val="00791841"/>
    <w:rsid w:val="007A0C87"/>
    <w:rsid w:val="00825AFD"/>
    <w:rsid w:val="00881778"/>
    <w:rsid w:val="00967AE9"/>
    <w:rsid w:val="009826A4"/>
    <w:rsid w:val="00A073C1"/>
    <w:rsid w:val="00B12657"/>
    <w:rsid w:val="00B527CE"/>
    <w:rsid w:val="00B7191F"/>
    <w:rsid w:val="00BB7813"/>
    <w:rsid w:val="00C23AE5"/>
    <w:rsid w:val="00C2720E"/>
    <w:rsid w:val="00DA102B"/>
    <w:rsid w:val="00E028B5"/>
    <w:rsid w:val="00E37901"/>
    <w:rsid w:val="00E501B9"/>
    <w:rsid w:val="00E50A55"/>
    <w:rsid w:val="00E52B0A"/>
    <w:rsid w:val="00E838BE"/>
    <w:rsid w:val="00F0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06E80-0DF7-4679-96E5-B2F075D9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562C33"/>
    <w:pPr>
      <w:tabs>
        <w:tab w:val="center" w:pos="3240"/>
        <w:tab w:val="center" w:pos="4680"/>
        <w:tab w:val="center" w:pos="6120"/>
        <w:tab w:val="center" w:pos="7740"/>
        <w:tab w:val="center" w:pos="9180"/>
        <w:tab w:val="center" w:pos="10440"/>
        <w:tab w:val="center" w:pos="11520"/>
        <w:tab w:val="center" w:pos="12600"/>
        <w:tab w:val="center" w:pos="13680"/>
      </w:tabs>
    </w:pPr>
    <w:rPr>
      <w:color w:val="FF0000"/>
      <w:sz w:val="20"/>
    </w:rPr>
  </w:style>
  <w:style w:type="character" w:customStyle="1" w:styleId="Corpsdetexte2Car">
    <w:name w:val="Corps de texte 2 Car"/>
    <w:basedOn w:val="Policepardfaut"/>
    <w:link w:val="Corpsdetexte2"/>
    <w:semiHidden/>
    <w:rsid w:val="00562C33"/>
    <w:rPr>
      <w:rFonts w:ascii="Times New Roman" w:eastAsia="Times New Roman" w:hAnsi="Times New Roman" w:cs="Times New Roman"/>
      <w:color w:val="FF0000"/>
      <w:sz w:val="20"/>
      <w:szCs w:val="24"/>
      <w:lang w:eastAsia="fr-FR"/>
    </w:rPr>
  </w:style>
  <w:style w:type="character" w:customStyle="1" w:styleId="hps">
    <w:name w:val="hps"/>
    <w:rsid w:val="00562C33"/>
  </w:style>
  <w:style w:type="paragraph" w:customStyle="1" w:styleId="xl32">
    <w:name w:val="xl32"/>
    <w:basedOn w:val="Normal"/>
    <w:rsid w:val="00E37901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B781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B781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ghlight">
    <w:name w:val="highlight"/>
    <w:rsid w:val="00BB7813"/>
  </w:style>
  <w:style w:type="character" w:customStyle="1" w:styleId="st">
    <w:name w:val="st"/>
    <w:rsid w:val="00BB7813"/>
  </w:style>
  <w:style w:type="paragraph" w:styleId="NormalWeb">
    <w:name w:val="Normal (Web)"/>
    <w:basedOn w:val="Normal"/>
    <w:uiPriority w:val="99"/>
    <w:semiHidden/>
    <w:unhideWhenUsed/>
    <w:rsid w:val="00455F8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Feillet</dc:creator>
  <cp:lastModifiedBy>Charles COUDRAY</cp:lastModifiedBy>
  <cp:revision>31</cp:revision>
  <dcterms:created xsi:type="dcterms:W3CDTF">2017-05-12T10:12:00Z</dcterms:created>
  <dcterms:modified xsi:type="dcterms:W3CDTF">2017-07-06T14:45:00Z</dcterms:modified>
</cp:coreProperties>
</file>