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541" w:rsidRDefault="00534541" w:rsidP="00534541">
      <w:pPr>
        <w:ind w:right="-60"/>
      </w:pPr>
      <w:r>
        <w:t xml:space="preserve">Supplementary </w:t>
      </w:r>
      <w:r w:rsidRPr="007C366A">
        <w:t xml:space="preserve">Table </w:t>
      </w:r>
      <w:r>
        <w:t>1</w:t>
      </w:r>
      <w:r w:rsidRPr="007C366A">
        <w:t xml:space="preserve">. </w:t>
      </w:r>
      <w:r>
        <w:t>Dietary inflammatory index density and risk of reflux oesophagitis, Barrett’s oesophagus and oesophageal adenocarcinoma, stratified by smoking status</w:t>
      </w:r>
      <w:r w:rsidRPr="00903741">
        <w:t xml:space="preserve">, </w:t>
      </w:r>
      <w:r w:rsidRPr="00903741">
        <w:rPr>
          <w:lang w:val="en-US"/>
        </w:rPr>
        <w:t>FINBAR Study</w:t>
      </w:r>
      <w:r>
        <w:rPr>
          <w:lang w:val="en-US"/>
        </w:rPr>
        <w:t>.</w:t>
      </w:r>
    </w:p>
    <w:tbl>
      <w:tblPr>
        <w:tblpPr w:leftFromText="180" w:rightFromText="180" w:vertAnchor="page" w:horzAnchor="margin" w:tblpXSpec="center" w:tblpY="213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992"/>
        <w:gridCol w:w="1723"/>
        <w:gridCol w:w="990"/>
        <w:gridCol w:w="1681"/>
        <w:gridCol w:w="1134"/>
      </w:tblGrid>
      <w:tr w:rsidR="00534541" w:rsidTr="006E34E7">
        <w:tc>
          <w:tcPr>
            <w:tcW w:w="3369" w:type="dxa"/>
          </w:tcPr>
          <w:p w:rsidR="00534541" w:rsidRDefault="00534541" w:rsidP="006E34E7"/>
        </w:tc>
        <w:tc>
          <w:tcPr>
            <w:tcW w:w="2715" w:type="dxa"/>
            <w:gridSpan w:val="2"/>
          </w:tcPr>
          <w:p w:rsidR="00534541" w:rsidRPr="001F67EC" w:rsidRDefault="00534541" w:rsidP="006E34E7">
            <w:pPr>
              <w:jc w:val="center"/>
            </w:pPr>
            <w:r>
              <w:t>Never smokers</w:t>
            </w:r>
          </w:p>
        </w:tc>
        <w:tc>
          <w:tcPr>
            <w:tcW w:w="2671" w:type="dxa"/>
            <w:gridSpan w:val="2"/>
          </w:tcPr>
          <w:p w:rsidR="00534541" w:rsidRPr="001F67EC" w:rsidRDefault="00534541" w:rsidP="006E34E7">
            <w:pPr>
              <w:jc w:val="center"/>
            </w:pPr>
            <w:r>
              <w:t>Ever smokers</w:t>
            </w:r>
          </w:p>
        </w:tc>
        <w:tc>
          <w:tcPr>
            <w:tcW w:w="1134" w:type="dxa"/>
          </w:tcPr>
          <w:p w:rsidR="00534541" w:rsidRDefault="00534541" w:rsidP="006E34E7"/>
        </w:tc>
      </w:tr>
      <w:tr w:rsidR="00534541" w:rsidTr="006E34E7">
        <w:tc>
          <w:tcPr>
            <w:tcW w:w="3369" w:type="dxa"/>
          </w:tcPr>
          <w:p w:rsidR="00534541" w:rsidRDefault="00534541" w:rsidP="006E34E7"/>
        </w:tc>
        <w:tc>
          <w:tcPr>
            <w:tcW w:w="992" w:type="dxa"/>
          </w:tcPr>
          <w:p w:rsidR="00534541" w:rsidRPr="00DD3EC5" w:rsidRDefault="00534541" w:rsidP="006E34E7">
            <w:pPr>
              <w:rPr>
                <w:i/>
              </w:rPr>
            </w:pPr>
            <w:r>
              <w:t>Controls/Cases</w:t>
            </w:r>
          </w:p>
        </w:tc>
        <w:tc>
          <w:tcPr>
            <w:tcW w:w="1723" w:type="dxa"/>
            <w:hideMark/>
          </w:tcPr>
          <w:p w:rsidR="00534541" w:rsidRDefault="00534541" w:rsidP="006E34E7">
            <w:r>
              <w:t>Adjusted</w:t>
            </w:r>
            <w:r w:rsidRPr="00DD3EC5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a</w:t>
            </w:r>
          </w:p>
          <w:p w:rsidR="00534541" w:rsidRDefault="00534541" w:rsidP="006E34E7">
            <w:r>
              <w:t>OR (95%CI)</w:t>
            </w:r>
          </w:p>
        </w:tc>
        <w:tc>
          <w:tcPr>
            <w:tcW w:w="990" w:type="dxa"/>
          </w:tcPr>
          <w:p w:rsidR="00534541" w:rsidRDefault="00534541" w:rsidP="006E34E7">
            <w:r>
              <w:t>Controls/ Cases</w:t>
            </w:r>
          </w:p>
        </w:tc>
        <w:tc>
          <w:tcPr>
            <w:tcW w:w="1681" w:type="dxa"/>
          </w:tcPr>
          <w:p w:rsidR="00534541" w:rsidRDefault="00534541" w:rsidP="006E34E7">
            <w:r>
              <w:t xml:space="preserve">Adjusted </w:t>
            </w:r>
            <w:r>
              <w:rPr>
                <w:vertAlign w:val="superscript"/>
              </w:rPr>
              <w:t>a</w:t>
            </w:r>
          </w:p>
          <w:p w:rsidR="00534541" w:rsidRDefault="00534541" w:rsidP="006E34E7">
            <w:r>
              <w:t>OR (95%CI)</w:t>
            </w:r>
          </w:p>
        </w:tc>
        <w:tc>
          <w:tcPr>
            <w:tcW w:w="1134" w:type="dxa"/>
          </w:tcPr>
          <w:p w:rsidR="00534541" w:rsidRDefault="00534541" w:rsidP="006E34E7">
            <w:r w:rsidRPr="00E60674">
              <w:rPr>
                <w:i/>
              </w:rPr>
              <w:t xml:space="preserve">P </w:t>
            </w:r>
            <w:r>
              <w:t>for interaction</w:t>
            </w:r>
          </w:p>
        </w:tc>
      </w:tr>
      <w:tr w:rsidR="00534541" w:rsidTr="006E34E7">
        <w:tc>
          <w:tcPr>
            <w:tcW w:w="3369" w:type="dxa"/>
            <w:hideMark/>
          </w:tcPr>
          <w:p w:rsidR="00534541" w:rsidRPr="00923888" w:rsidRDefault="00534541" w:rsidP="006E34E7">
            <w:r w:rsidRPr="00923888">
              <w:t>REFLUX OESOPHAGITIS</w:t>
            </w:r>
            <w:r w:rsidRPr="00923888">
              <w:rPr>
                <w:vertAlign w:val="superscript"/>
              </w:rPr>
              <w:t xml:space="preserve"> b</w:t>
            </w:r>
          </w:p>
        </w:tc>
        <w:tc>
          <w:tcPr>
            <w:tcW w:w="992" w:type="dxa"/>
          </w:tcPr>
          <w:p w:rsidR="00534541" w:rsidRDefault="00534541" w:rsidP="006E34E7"/>
        </w:tc>
        <w:tc>
          <w:tcPr>
            <w:tcW w:w="1723" w:type="dxa"/>
          </w:tcPr>
          <w:p w:rsidR="00534541" w:rsidRDefault="00534541" w:rsidP="006E34E7"/>
        </w:tc>
        <w:tc>
          <w:tcPr>
            <w:tcW w:w="990" w:type="dxa"/>
          </w:tcPr>
          <w:p w:rsidR="00534541" w:rsidRDefault="00534541" w:rsidP="006E34E7"/>
        </w:tc>
        <w:tc>
          <w:tcPr>
            <w:tcW w:w="1681" w:type="dxa"/>
          </w:tcPr>
          <w:p w:rsidR="00534541" w:rsidRDefault="00534541" w:rsidP="006E34E7"/>
        </w:tc>
        <w:tc>
          <w:tcPr>
            <w:tcW w:w="1134" w:type="dxa"/>
          </w:tcPr>
          <w:p w:rsidR="00534541" w:rsidRDefault="00534541" w:rsidP="006E34E7"/>
        </w:tc>
      </w:tr>
      <w:tr w:rsidR="00534541" w:rsidTr="006E34E7">
        <w:tc>
          <w:tcPr>
            <w:tcW w:w="3369" w:type="dxa"/>
            <w:shd w:val="clear" w:color="auto" w:fill="auto"/>
            <w:hideMark/>
          </w:tcPr>
          <w:p w:rsidR="00534541" w:rsidRPr="00923888" w:rsidRDefault="00534541" w:rsidP="006E34E7">
            <w:r w:rsidRPr="00923888">
              <w:t>DII density (units/kcal/d)</w:t>
            </w:r>
          </w:p>
          <w:p w:rsidR="00534541" w:rsidRPr="00923888" w:rsidRDefault="00534541" w:rsidP="006E34E7">
            <w:r w:rsidRPr="00923888">
              <w:t xml:space="preserve">          &lt;-0.12</w:t>
            </w:r>
          </w:p>
          <w:p w:rsidR="00534541" w:rsidRPr="00923888" w:rsidRDefault="00534541" w:rsidP="006E34E7">
            <w:r w:rsidRPr="00923888">
              <w:t xml:space="preserve">          -0.12- &lt;1.91</w:t>
            </w:r>
          </w:p>
          <w:p w:rsidR="00534541" w:rsidRPr="00923888" w:rsidRDefault="00534541" w:rsidP="006E34E7">
            <w:r w:rsidRPr="00923888">
              <w:t xml:space="preserve">           ≥1.91</w:t>
            </w:r>
          </w:p>
        </w:tc>
        <w:tc>
          <w:tcPr>
            <w:tcW w:w="992" w:type="dxa"/>
            <w:shd w:val="clear" w:color="auto" w:fill="auto"/>
          </w:tcPr>
          <w:p w:rsidR="00534541" w:rsidRPr="00D13EFB" w:rsidRDefault="00534541" w:rsidP="006E34E7"/>
          <w:p w:rsidR="00534541" w:rsidRPr="00D13EFB" w:rsidRDefault="00534541" w:rsidP="006E34E7">
            <w:r>
              <w:t>20/21</w:t>
            </w:r>
          </w:p>
          <w:p w:rsidR="00534541" w:rsidRPr="00D13EFB" w:rsidRDefault="00534541" w:rsidP="006E34E7">
            <w:r>
              <w:t>20/44</w:t>
            </w:r>
          </w:p>
          <w:p w:rsidR="00534541" w:rsidRPr="00D13EFB" w:rsidRDefault="00534541" w:rsidP="006E34E7">
            <w:r>
              <w:t>11</w:t>
            </w:r>
            <w:r w:rsidRPr="00D13EFB">
              <w:t>/</w:t>
            </w:r>
            <w:r>
              <w:t>41</w:t>
            </w:r>
          </w:p>
        </w:tc>
        <w:tc>
          <w:tcPr>
            <w:tcW w:w="1723" w:type="dxa"/>
            <w:shd w:val="clear" w:color="auto" w:fill="auto"/>
          </w:tcPr>
          <w:p w:rsidR="00534541" w:rsidRPr="00D13EFB" w:rsidRDefault="00534541" w:rsidP="006E34E7"/>
          <w:p w:rsidR="00534541" w:rsidRPr="00D13EFB" w:rsidRDefault="00534541" w:rsidP="006E34E7">
            <w:r w:rsidRPr="00D13EFB">
              <w:t>1.00</w:t>
            </w:r>
          </w:p>
          <w:p w:rsidR="00534541" w:rsidRPr="00D13EFB" w:rsidRDefault="00534541" w:rsidP="006E34E7">
            <w:r>
              <w:t>0.87 (0.31-2</w:t>
            </w:r>
            <w:r w:rsidRPr="00D13EFB">
              <w:t>.</w:t>
            </w:r>
            <w:r>
              <w:t>48</w:t>
            </w:r>
            <w:r w:rsidRPr="00D13EFB">
              <w:t>)</w:t>
            </w:r>
          </w:p>
          <w:p w:rsidR="00534541" w:rsidRPr="00D13EFB" w:rsidRDefault="00534541" w:rsidP="006E34E7">
            <w:r>
              <w:t>1.04 (0.33-3.29)</w:t>
            </w:r>
          </w:p>
        </w:tc>
        <w:tc>
          <w:tcPr>
            <w:tcW w:w="990" w:type="dxa"/>
          </w:tcPr>
          <w:p w:rsidR="00534541" w:rsidRPr="00D13EFB" w:rsidRDefault="00534541" w:rsidP="006E34E7"/>
          <w:p w:rsidR="00534541" w:rsidRDefault="00534541" w:rsidP="006E34E7">
            <w:r>
              <w:t>19/12</w:t>
            </w:r>
          </w:p>
          <w:p w:rsidR="00534541" w:rsidRPr="00D13EFB" w:rsidRDefault="00534541" w:rsidP="006E34E7">
            <w:r>
              <w:t>20/36</w:t>
            </w:r>
          </w:p>
          <w:p w:rsidR="00534541" w:rsidRPr="00D13EFB" w:rsidRDefault="00534541" w:rsidP="006E34E7">
            <w:r>
              <w:t>27</w:t>
            </w:r>
            <w:r w:rsidRPr="00D13EFB">
              <w:t>/</w:t>
            </w:r>
            <w:r>
              <w:t>60</w:t>
            </w:r>
          </w:p>
        </w:tc>
        <w:tc>
          <w:tcPr>
            <w:tcW w:w="1681" w:type="dxa"/>
          </w:tcPr>
          <w:p w:rsidR="00534541" w:rsidRPr="00D13EFB" w:rsidRDefault="00534541" w:rsidP="006E34E7"/>
          <w:p w:rsidR="00534541" w:rsidRPr="00D13EFB" w:rsidRDefault="00534541" w:rsidP="006E34E7">
            <w:r w:rsidRPr="00D13EFB">
              <w:t>1.00</w:t>
            </w:r>
          </w:p>
          <w:p w:rsidR="00534541" w:rsidRPr="00D13EFB" w:rsidRDefault="00534541" w:rsidP="006E34E7">
            <w:r>
              <w:t>2.12</w:t>
            </w:r>
            <w:r w:rsidRPr="00D13EFB">
              <w:t xml:space="preserve"> (0.</w:t>
            </w:r>
            <w:r>
              <w:t>76-5.90</w:t>
            </w:r>
            <w:r w:rsidRPr="00D13EFB">
              <w:t>)</w:t>
            </w:r>
          </w:p>
          <w:p w:rsidR="00534541" w:rsidRPr="00D13EFB" w:rsidRDefault="00534541" w:rsidP="006E34E7">
            <w:r>
              <w:t>2.57 (0.98-6.72</w:t>
            </w:r>
            <w:r w:rsidRPr="00D13EFB">
              <w:t>)</w:t>
            </w:r>
          </w:p>
        </w:tc>
        <w:tc>
          <w:tcPr>
            <w:tcW w:w="1134" w:type="dxa"/>
          </w:tcPr>
          <w:p w:rsidR="00534541" w:rsidRDefault="00534541" w:rsidP="006E34E7"/>
        </w:tc>
      </w:tr>
      <w:tr w:rsidR="00534541" w:rsidTr="006E34E7">
        <w:tc>
          <w:tcPr>
            <w:tcW w:w="3369" w:type="dxa"/>
            <w:shd w:val="clear" w:color="auto" w:fill="auto"/>
            <w:hideMark/>
          </w:tcPr>
          <w:p w:rsidR="00534541" w:rsidRPr="00923888" w:rsidRDefault="00534541" w:rsidP="006E34E7">
            <w:r w:rsidRPr="00923888">
              <w:t xml:space="preserve">   </w:t>
            </w:r>
            <w:r w:rsidRPr="00923888">
              <w:rPr>
                <w:i/>
              </w:rPr>
              <w:t xml:space="preserve"> P</w:t>
            </w:r>
            <w:r w:rsidRPr="00923888">
              <w:t xml:space="preserve"> for trend</w:t>
            </w:r>
          </w:p>
        </w:tc>
        <w:tc>
          <w:tcPr>
            <w:tcW w:w="992" w:type="dxa"/>
            <w:shd w:val="clear" w:color="auto" w:fill="auto"/>
          </w:tcPr>
          <w:p w:rsidR="00534541" w:rsidRPr="00D13EFB" w:rsidRDefault="00534541" w:rsidP="006E34E7"/>
        </w:tc>
        <w:tc>
          <w:tcPr>
            <w:tcW w:w="1723" w:type="dxa"/>
            <w:shd w:val="clear" w:color="auto" w:fill="auto"/>
            <w:hideMark/>
          </w:tcPr>
          <w:p w:rsidR="00534541" w:rsidRPr="00D13EFB" w:rsidRDefault="00534541" w:rsidP="006E34E7">
            <w:r w:rsidRPr="00D13EFB">
              <w:t>0.</w:t>
            </w:r>
            <w:r>
              <w:t>94</w:t>
            </w:r>
          </w:p>
        </w:tc>
        <w:tc>
          <w:tcPr>
            <w:tcW w:w="990" w:type="dxa"/>
          </w:tcPr>
          <w:p w:rsidR="00534541" w:rsidRPr="00D13EFB" w:rsidRDefault="00534541" w:rsidP="006E34E7"/>
        </w:tc>
        <w:tc>
          <w:tcPr>
            <w:tcW w:w="1681" w:type="dxa"/>
          </w:tcPr>
          <w:p w:rsidR="00534541" w:rsidRPr="00D13EFB" w:rsidRDefault="00534541" w:rsidP="006E34E7">
            <w:r>
              <w:t>0.07</w:t>
            </w:r>
          </w:p>
        </w:tc>
        <w:tc>
          <w:tcPr>
            <w:tcW w:w="1134" w:type="dxa"/>
          </w:tcPr>
          <w:p w:rsidR="00534541" w:rsidRDefault="00534541" w:rsidP="006E34E7">
            <w:r>
              <w:t>0.58</w:t>
            </w:r>
          </w:p>
        </w:tc>
      </w:tr>
      <w:tr w:rsidR="00534541" w:rsidTr="006E34E7">
        <w:tc>
          <w:tcPr>
            <w:tcW w:w="3369" w:type="dxa"/>
            <w:hideMark/>
          </w:tcPr>
          <w:p w:rsidR="00534541" w:rsidRPr="00923888" w:rsidRDefault="00534541" w:rsidP="006E34E7">
            <w:r w:rsidRPr="00923888">
              <w:t>BARRETT’S OESOPHAGUS</w:t>
            </w:r>
          </w:p>
        </w:tc>
        <w:tc>
          <w:tcPr>
            <w:tcW w:w="992" w:type="dxa"/>
          </w:tcPr>
          <w:p w:rsidR="00534541" w:rsidRDefault="00534541" w:rsidP="006E34E7"/>
        </w:tc>
        <w:tc>
          <w:tcPr>
            <w:tcW w:w="1723" w:type="dxa"/>
          </w:tcPr>
          <w:p w:rsidR="00534541" w:rsidRDefault="00534541" w:rsidP="006E34E7"/>
        </w:tc>
        <w:tc>
          <w:tcPr>
            <w:tcW w:w="990" w:type="dxa"/>
          </w:tcPr>
          <w:p w:rsidR="00534541" w:rsidRDefault="00534541" w:rsidP="006E34E7"/>
        </w:tc>
        <w:tc>
          <w:tcPr>
            <w:tcW w:w="1681" w:type="dxa"/>
          </w:tcPr>
          <w:p w:rsidR="00534541" w:rsidRDefault="00534541" w:rsidP="006E34E7"/>
        </w:tc>
        <w:tc>
          <w:tcPr>
            <w:tcW w:w="1134" w:type="dxa"/>
          </w:tcPr>
          <w:p w:rsidR="00534541" w:rsidRDefault="00534541" w:rsidP="006E34E7"/>
        </w:tc>
      </w:tr>
      <w:tr w:rsidR="00534541" w:rsidTr="006E34E7">
        <w:tc>
          <w:tcPr>
            <w:tcW w:w="3369" w:type="dxa"/>
            <w:hideMark/>
          </w:tcPr>
          <w:p w:rsidR="00534541" w:rsidRPr="00923888" w:rsidRDefault="00534541" w:rsidP="006E34E7">
            <w:r w:rsidRPr="00923888">
              <w:t>DII density (units/kcal/d)</w:t>
            </w:r>
          </w:p>
          <w:p w:rsidR="00534541" w:rsidRPr="00923888" w:rsidRDefault="00534541" w:rsidP="006E34E7">
            <w:r w:rsidRPr="00923888">
              <w:t xml:space="preserve">          &lt;0.34</w:t>
            </w:r>
          </w:p>
          <w:p w:rsidR="00534541" w:rsidRPr="00923888" w:rsidRDefault="00534541" w:rsidP="006E34E7">
            <w:r w:rsidRPr="00923888">
              <w:t xml:space="preserve">          0.34- &lt;1.98</w:t>
            </w:r>
          </w:p>
          <w:p w:rsidR="00534541" w:rsidRPr="00923888" w:rsidRDefault="00534541" w:rsidP="006E34E7">
            <w:r w:rsidRPr="00923888">
              <w:t xml:space="preserve">          ≥1.98</w:t>
            </w:r>
          </w:p>
        </w:tc>
        <w:tc>
          <w:tcPr>
            <w:tcW w:w="992" w:type="dxa"/>
          </w:tcPr>
          <w:p w:rsidR="00534541" w:rsidRDefault="00534541" w:rsidP="006E34E7"/>
          <w:p w:rsidR="00534541" w:rsidRDefault="00534541" w:rsidP="006E34E7">
            <w:r>
              <w:t>42/25</w:t>
            </w:r>
          </w:p>
          <w:p w:rsidR="00534541" w:rsidRDefault="00534541" w:rsidP="006E34E7">
            <w:r>
              <w:t>30/28</w:t>
            </w:r>
          </w:p>
          <w:p w:rsidR="00534541" w:rsidRDefault="00534541" w:rsidP="006E34E7">
            <w:r>
              <w:t>28/34</w:t>
            </w:r>
          </w:p>
        </w:tc>
        <w:tc>
          <w:tcPr>
            <w:tcW w:w="1723" w:type="dxa"/>
          </w:tcPr>
          <w:p w:rsidR="00534541" w:rsidRDefault="00534541" w:rsidP="006E34E7"/>
          <w:p w:rsidR="00534541" w:rsidRDefault="00534541" w:rsidP="006E34E7">
            <w:r>
              <w:t>1.00</w:t>
            </w:r>
          </w:p>
          <w:p w:rsidR="00534541" w:rsidRDefault="00534541" w:rsidP="006E34E7">
            <w:r>
              <w:t>1.26 (0.55-2.91)</w:t>
            </w:r>
          </w:p>
          <w:p w:rsidR="00534541" w:rsidRDefault="00534541" w:rsidP="006E34E7">
            <w:r>
              <w:t>1.68 (0.74-3.84)</w:t>
            </w:r>
          </w:p>
        </w:tc>
        <w:tc>
          <w:tcPr>
            <w:tcW w:w="990" w:type="dxa"/>
          </w:tcPr>
          <w:p w:rsidR="00534541" w:rsidRDefault="00534541" w:rsidP="006E34E7"/>
          <w:p w:rsidR="00534541" w:rsidRDefault="00534541" w:rsidP="006E34E7">
            <w:r>
              <w:t>42/20</w:t>
            </w:r>
          </w:p>
          <w:p w:rsidR="00534541" w:rsidRDefault="00534541" w:rsidP="006E34E7">
            <w:r>
              <w:t>54/48</w:t>
            </w:r>
          </w:p>
          <w:p w:rsidR="00534541" w:rsidRDefault="00534541" w:rsidP="006E34E7">
            <w:r>
              <w:t>53/64</w:t>
            </w:r>
          </w:p>
        </w:tc>
        <w:tc>
          <w:tcPr>
            <w:tcW w:w="1681" w:type="dxa"/>
          </w:tcPr>
          <w:p w:rsidR="00534541" w:rsidRDefault="00534541" w:rsidP="006E34E7"/>
          <w:p w:rsidR="00534541" w:rsidRDefault="00534541" w:rsidP="006E34E7">
            <w:r>
              <w:t>1.00</w:t>
            </w:r>
          </w:p>
          <w:p w:rsidR="00534541" w:rsidRDefault="00534541" w:rsidP="006E34E7">
            <w:r>
              <w:t>1.88 (0.91-3.88)</w:t>
            </w:r>
          </w:p>
          <w:p w:rsidR="00534541" w:rsidRDefault="00534541" w:rsidP="006E34E7">
            <w:r>
              <w:t>2.17 (1.05-4.46)</w:t>
            </w:r>
          </w:p>
        </w:tc>
        <w:tc>
          <w:tcPr>
            <w:tcW w:w="1134" w:type="dxa"/>
          </w:tcPr>
          <w:p w:rsidR="00534541" w:rsidRDefault="00534541" w:rsidP="006E34E7"/>
        </w:tc>
      </w:tr>
      <w:tr w:rsidR="00534541" w:rsidTr="006E34E7">
        <w:tc>
          <w:tcPr>
            <w:tcW w:w="3369" w:type="dxa"/>
            <w:hideMark/>
          </w:tcPr>
          <w:p w:rsidR="00534541" w:rsidRPr="00923888" w:rsidRDefault="00534541" w:rsidP="006E34E7">
            <w:r w:rsidRPr="00923888">
              <w:t xml:space="preserve">   </w:t>
            </w:r>
            <w:r w:rsidRPr="00923888">
              <w:rPr>
                <w:i/>
              </w:rPr>
              <w:t>P</w:t>
            </w:r>
            <w:r w:rsidRPr="00923888">
              <w:t xml:space="preserve"> for trend</w:t>
            </w:r>
          </w:p>
        </w:tc>
        <w:tc>
          <w:tcPr>
            <w:tcW w:w="992" w:type="dxa"/>
          </w:tcPr>
          <w:p w:rsidR="00534541" w:rsidRDefault="00534541" w:rsidP="006E34E7"/>
        </w:tc>
        <w:tc>
          <w:tcPr>
            <w:tcW w:w="1723" w:type="dxa"/>
            <w:hideMark/>
          </w:tcPr>
          <w:p w:rsidR="00534541" w:rsidRDefault="00534541" w:rsidP="006E34E7">
            <w:r>
              <w:t>0.22</w:t>
            </w:r>
          </w:p>
        </w:tc>
        <w:tc>
          <w:tcPr>
            <w:tcW w:w="990" w:type="dxa"/>
          </w:tcPr>
          <w:p w:rsidR="00534541" w:rsidRDefault="00534541" w:rsidP="006E34E7"/>
        </w:tc>
        <w:tc>
          <w:tcPr>
            <w:tcW w:w="1681" w:type="dxa"/>
          </w:tcPr>
          <w:p w:rsidR="00534541" w:rsidRDefault="00534541" w:rsidP="006E34E7">
            <w:r>
              <w:t>0.04</w:t>
            </w:r>
          </w:p>
        </w:tc>
        <w:tc>
          <w:tcPr>
            <w:tcW w:w="1134" w:type="dxa"/>
          </w:tcPr>
          <w:p w:rsidR="00534541" w:rsidRDefault="00534541" w:rsidP="006E34E7">
            <w:r>
              <w:t>0.76</w:t>
            </w:r>
          </w:p>
        </w:tc>
      </w:tr>
      <w:tr w:rsidR="00534541" w:rsidTr="006E34E7">
        <w:tc>
          <w:tcPr>
            <w:tcW w:w="4361" w:type="dxa"/>
            <w:gridSpan w:val="2"/>
            <w:hideMark/>
          </w:tcPr>
          <w:p w:rsidR="00534541" w:rsidRPr="00923888" w:rsidRDefault="00534541" w:rsidP="006E34E7">
            <w:r>
              <w:t>OESOPHAGEAL</w:t>
            </w:r>
            <w:r w:rsidRPr="00923888">
              <w:t xml:space="preserve"> ADENOCARCINOMA</w:t>
            </w:r>
          </w:p>
        </w:tc>
        <w:tc>
          <w:tcPr>
            <w:tcW w:w="1723" w:type="dxa"/>
          </w:tcPr>
          <w:p w:rsidR="00534541" w:rsidRDefault="00534541" w:rsidP="006E34E7"/>
        </w:tc>
        <w:tc>
          <w:tcPr>
            <w:tcW w:w="990" w:type="dxa"/>
          </w:tcPr>
          <w:p w:rsidR="00534541" w:rsidRDefault="00534541" w:rsidP="006E34E7"/>
        </w:tc>
        <w:tc>
          <w:tcPr>
            <w:tcW w:w="1681" w:type="dxa"/>
          </w:tcPr>
          <w:p w:rsidR="00534541" w:rsidRDefault="00534541" w:rsidP="006E34E7"/>
        </w:tc>
        <w:tc>
          <w:tcPr>
            <w:tcW w:w="1134" w:type="dxa"/>
          </w:tcPr>
          <w:p w:rsidR="00534541" w:rsidRDefault="00534541" w:rsidP="006E34E7"/>
        </w:tc>
      </w:tr>
      <w:tr w:rsidR="00534541" w:rsidTr="006E34E7">
        <w:trPr>
          <w:trHeight w:val="74"/>
        </w:trPr>
        <w:tc>
          <w:tcPr>
            <w:tcW w:w="3369" w:type="dxa"/>
            <w:hideMark/>
          </w:tcPr>
          <w:p w:rsidR="00534541" w:rsidRPr="00923888" w:rsidRDefault="00534541" w:rsidP="006E34E7">
            <w:r w:rsidRPr="00923888">
              <w:t>DII density (units/kcal/d)</w:t>
            </w:r>
          </w:p>
          <w:p w:rsidR="00534541" w:rsidRPr="00923888" w:rsidRDefault="00534541" w:rsidP="006E34E7">
            <w:r w:rsidRPr="00923888">
              <w:t xml:space="preserve">          &lt;0.34</w:t>
            </w:r>
          </w:p>
          <w:p w:rsidR="00534541" w:rsidRPr="00923888" w:rsidRDefault="00534541" w:rsidP="006E34E7">
            <w:r w:rsidRPr="00923888">
              <w:t xml:space="preserve">          0.34- &lt;1.98</w:t>
            </w:r>
          </w:p>
          <w:p w:rsidR="00534541" w:rsidRPr="00923888" w:rsidRDefault="00534541" w:rsidP="006E34E7">
            <w:r w:rsidRPr="00923888">
              <w:t xml:space="preserve">          ≥1.98</w:t>
            </w:r>
          </w:p>
        </w:tc>
        <w:tc>
          <w:tcPr>
            <w:tcW w:w="992" w:type="dxa"/>
          </w:tcPr>
          <w:p w:rsidR="00534541" w:rsidRPr="00D13EFB" w:rsidRDefault="00534541" w:rsidP="006E34E7"/>
          <w:p w:rsidR="00534541" w:rsidRPr="00D13EFB" w:rsidRDefault="00534541" w:rsidP="006E34E7">
            <w:r>
              <w:t>42/9</w:t>
            </w:r>
          </w:p>
          <w:p w:rsidR="00534541" w:rsidRPr="00D13EFB" w:rsidRDefault="00534541" w:rsidP="006E34E7">
            <w:r>
              <w:t>30/14</w:t>
            </w:r>
          </w:p>
          <w:p w:rsidR="00534541" w:rsidRPr="00D13EFB" w:rsidRDefault="00534541" w:rsidP="006E34E7">
            <w:r>
              <w:t>28</w:t>
            </w:r>
            <w:r w:rsidRPr="00D13EFB">
              <w:t>/</w:t>
            </w:r>
            <w:r>
              <w:t>22</w:t>
            </w:r>
          </w:p>
        </w:tc>
        <w:tc>
          <w:tcPr>
            <w:tcW w:w="1723" w:type="dxa"/>
          </w:tcPr>
          <w:p w:rsidR="00534541" w:rsidRPr="00D13EFB" w:rsidRDefault="00534541" w:rsidP="006E34E7"/>
          <w:p w:rsidR="00534541" w:rsidRPr="00D13EFB" w:rsidRDefault="00534541" w:rsidP="006E34E7">
            <w:r w:rsidRPr="00D13EFB">
              <w:t>1.00</w:t>
            </w:r>
          </w:p>
          <w:p w:rsidR="00534541" w:rsidRPr="00D13EFB" w:rsidRDefault="00534541" w:rsidP="006E34E7">
            <w:r>
              <w:t>2.64 (0.87-8.00</w:t>
            </w:r>
            <w:r w:rsidRPr="00D13EFB">
              <w:t>)</w:t>
            </w:r>
          </w:p>
          <w:p w:rsidR="00534541" w:rsidRPr="00D13EFB" w:rsidRDefault="00534541" w:rsidP="006E34E7">
            <w:r>
              <w:t>4.77 (1.62-14.05)</w:t>
            </w:r>
          </w:p>
        </w:tc>
        <w:tc>
          <w:tcPr>
            <w:tcW w:w="990" w:type="dxa"/>
          </w:tcPr>
          <w:p w:rsidR="00534541" w:rsidRPr="00D13EFB" w:rsidRDefault="00534541" w:rsidP="006E34E7"/>
          <w:p w:rsidR="00534541" w:rsidRPr="00D13EFB" w:rsidRDefault="00534541" w:rsidP="006E34E7">
            <w:r>
              <w:t>42/35</w:t>
            </w:r>
          </w:p>
          <w:p w:rsidR="00534541" w:rsidRPr="00D13EFB" w:rsidRDefault="00534541" w:rsidP="006E34E7">
            <w:r>
              <w:t>54/55</w:t>
            </w:r>
          </w:p>
          <w:p w:rsidR="00534541" w:rsidRPr="00D13EFB" w:rsidRDefault="00534541" w:rsidP="006E34E7">
            <w:r>
              <w:t>53</w:t>
            </w:r>
            <w:r w:rsidRPr="00D13EFB">
              <w:t>/</w:t>
            </w:r>
            <w:r>
              <w:t>84</w:t>
            </w:r>
          </w:p>
        </w:tc>
        <w:tc>
          <w:tcPr>
            <w:tcW w:w="1681" w:type="dxa"/>
          </w:tcPr>
          <w:p w:rsidR="00534541" w:rsidRPr="00D13EFB" w:rsidRDefault="00534541" w:rsidP="006E34E7"/>
          <w:p w:rsidR="00534541" w:rsidRPr="00D13EFB" w:rsidRDefault="00534541" w:rsidP="006E34E7">
            <w:r w:rsidRPr="00D13EFB">
              <w:t>1.00</w:t>
            </w:r>
          </w:p>
          <w:p w:rsidR="00534541" w:rsidRPr="00D13EFB" w:rsidRDefault="00534541" w:rsidP="006E34E7">
            <w:r>
              <w:t>1.42 (0.73-2</w:t>
            </w:r>
            <w:r w:rsidRPr="00D13EFB">
              <w:t>.</w:t>
            </w:r>
            <w:r>
              <w:t>77</w:t>
            </w:r>
            <w:r w:rsidRPr="00D13EFB">
              <w:t>)</w:t>
            </w:r>
          </w:p>
          <w:p w:rsidR="00534541" w:rsidRPr="00D13EFB" w:rsidRDefault="00534541" w:rsidP="006E34E7">
            <w:r>
              <w:t>2.01 (1.05-3.86)</w:t>
            </w:r>
          </w:p>
        </w:tc>
        <w:tc>
          <w:tcPr>
            <w:tcW w:w="1134" w:type="dxa"/>
          </w:tcPr>
          <w:p w:rsidR="00534541" w:rsidRDefault="00534541" w:rsidP="006E34E7"/>
        </w:tc>
      </w:tr>
      <w:tr w:rsidR="00534541" w:rsidTr="006E34E7">
        <w:tc>
          <w:tcPr>
            <w:tcW w:w="3369" w:type="dxa"/>
            <w:hideMark/>
          </w:tcPr>
          <w:p w:rsidR="00534541" w:rsidRPr="00BA4F5A" w:rsidRDefault="00534541" w:rsidP="006E34E7">
            <w:r w:rsidRPr="00BA4F5A">
              <w:t xml:space="preserve">   </w:t>
            </w:r>
            <w:r w:rsidRPr="008F2366">
              <w:rPr>
                <w:i/>
              </w:rPr>
              <w:t>P</w:t>
            </w:r>
            <w:r w:rsidRPr="00BA4F5A">
              <w:t xml:space="preserve"> for tr</w:t>
            </w:r>
            <w:r>
              <w:t>end</w:t>
            </w:r>
          </w:p>
        </w:tc>
        <w:tc>
          <w:tcPr>
            <w:tcW w:w="992" w:type="dxa"/>
          </w:tcPr>
          <w:p w:rsidR="00534541" w:rsidRPr="00D13EFB" w:rsidRDefault="00534541" w:rsidP="006E34E7"/>
        </w:tc>
        <w:tc>
          <w:tcPr>
            <w:tcW w:w="1723" w:type="dxa"/>
            <w:hideMark/>
          </w:tcPr>
          <w:p w:rsidR="00534541" w:rsidRPr="00D13EFB" w:rsidRDefault="00534541" w:rsidP="006E34E7">
            <w:r w:rsidRPr="00D13EFB">
              <w:t>0.</w:t>
            </w:r>
            <w:r>
              <w:t>005</w:t>
            </w:r>
          </w:p>
        </w:tc>
        <w:tc>
          <w:tcPr>
            <w:tcW w:w="990" w:type="dxa"/>
          </w:tcPr>
          <w:p w:rsidR="00534541" w:rsidRPr="00D13EFB" w:rsidRDefault="00534541" w:rsidP="006E34E7"/>
        </w:tc>
        <w:tc>
          <w:tcPr>
            <w:tcW w:w="1681" w:type="dxa"/>
          </w:tcPr>
          <w:p w:rsidR="00534541" w:rsidRPr="00D13EFB" w:rsidRDefault="00534541" w:rsidP="006E34E7">
            <w:r w:rsidRPr="00D13EFB">
              <w:t>0.</w:t>
            </w:r>
            <w:r>
              <w:t>03</w:t>
            </w:r>
          </w:p>
        </w:tc>
        <w:tc>
          <w:tcPr>
            <w:tcW w:w="1134" w:type="dxa"/>
          </w:tcPr>
          <w:p w:rsidR="00534541" w:rsidRDefault="00534541" w:rsidP="006E34E7">
            <w:r>
              <w:t>0.58</w:t>
            </w:r>
          </w:p>
        </w:tc>
      </w:tr>
    </w:tbl>
    <w:p w:rsidR="00534541" w:rsidRDefault="00534541" w:rsidP="00534541">
      <w:pPr>
        <w:ind w:right="-60"/>
        <w:rPr>
          <w:vertAlign w:val="superscript"/>
        </w:rPr>
      </w:pPr>
    </w:p>
    <w:p w:rsidR="00534541" w:rsidRDefault="00534541" w:rsidP="00534541">
      <w:pPr>
        <w:ind w:right="-60"/>
      </w:pPr>
      <w:r w:rsidRPr="00DD3EC5">
        <w:rPr>
          <w:vertAlign w:val="superscript"/>
        </w:rPr>
        <w:t>a</w:t>
      </w:r>
      <w:r>
        <w:t xml:space="preserve"> Adjusted for age (years), sex, energy intake, </w:t>
      </w:r>
      <w:r w:rsidRPr="002D0277">
        <w:t>BMI 5 years prior, education (years), occupation (manual/non-manual), alcohol (g/d), regular NSAID use (</w:t>
      </w:r>
      <w:r>
        <w:t>ever/never</w:t>
      </w:r>
      <w:r w:rsidRPr="002D0277">
        <w:t>),</w:t>
      </w:r>
      <w:r>
        <w:t xml:space="preserve"> </w:t>
      </w:r>
      <w:r w:rsidRPr="008659DB">
        <w:rPr>
          <w:i/>
        </w:rPr>
        <w:t>H</w:t>
      </w:r>
      <w:r>
        <w:rPr>
          <w:i/>
        </w:rPr>
        <w:t>elicobacter</w:t>
      </w:r>
      <w:r w:rsidRPr="008659DB">
        <w:rPr>
          <w:i/>
        </w:rPr>
        <w:t xml:space="preserve"> pylori</w:t>
      </w:r>
      <w:r>
        <w:t xml:space="preserve"> infection (seropositive/seronegative) and  </w:t>
      </w:r>
      <w:r w:rsidRPr="002D0277">
        <w:t>location</w:t>
      </w:r>
      <w:r>
        <w:t xml:space="preserve"> (Northern Ireland/Republic of Ireland).</w:t>
      </w:r>
    </w:p>
    <w:p w:rsidR="00534541" w:rsidRDefault="00534541" w:rsidP="00534541">
      <w:pPr>
        <w:spacing w:line="480" w:lineRule="auto"/>
      </w:pPr>
      <w:r>
        <w:rPr>
          <w:vertAlign w:val="superscript"/>
        </w:rPr>
        <w:t>b</w:t>
      </w:r>
      <w:r w:rsidRPr="006C1FC5">
        <w:rPr>
          <w:vertAlign w:val="superscript"/>
        </w:rPr>
        <w:t xml:space="preserve"> </w:t>
      </w:r>
      <w:r>
        <w:t>Analysis limited to Northern Ireland controls only.</w:t>
      </w:r>
    </w:p>
    <w:p w:rsidR="00534541" w:rsidRDefault="00534541" w:rsidP="00534541">
      <w:pPr>
        <w:ind w:right="-60"/>
        <w:sectPr w:rsidR="00534541" w:rsidSect="005D426C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534541" w:rsidRDefault="00534541" w:rsidP="00534541">
      <w:pPr>
        <w:ind w:left="-270" w:right="60"/>
      </w:pPr>
      <w:r>
        <w:lastRenderedPageBreak/>
        <w:t xml:space="preserve">Supplementary </w:t>
      </w:r>
      <w:r w:rsidRPr="007C366A">
        <w:t xml:space="preserve">Table </w:t>
      </w:r>
      <w:r>
        <w:t>2</w:t>
      </w:r>
      <w:r w:rsidRPr="007C366A">
        <w:t xml:space="preserve">. </w:t>
      </w:r>
      <w:r>
        <w:t>Dietary inflammatory index density and risk of reflux oesophagitis, Barrett’s oesophagus and oesophageal adenocarcinoma, stratified by body mass index five years prior to interview</w:t>
      </w:r>
      <w:r w:rsidRPr="00903741">
        <w:t xml:space="preserve">, </w:t>
      </w:r>
      <w:r w:rsidRPr="00903741">
        <w:rPr>
          <w:lang w:val="en-US"/>
        </w:rPr>
        <w:t>FINBAR Study</w:t>
      </w:r>
      <w:r w:rsidRPr="001F67EC">
        <w:t>.</w:t>
      </w:r>
    </w:p>
    <w:p w:rsidR="00534541" w:rsidRDefault="00534541" w:rsidP="00534541">
      <w:pPr>
        <w:ind w:right="-60"/>
      </w:pPr>
    </w:p>
    <w:tbl>
      <w:tblPr>
        <w:tblpPr w:leftFromText="180" w:rightFromText="180" w:vertAnchor="page" w:horzAnchor="margin" w:tblpXSpec="center" w:tblpY="213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992"/>
        <w:gridCol w:w="1723"/>
        <w:gridCol w:w="990"/>
        <w:gridCol w:w="1539"/>
        <w:gridCol w:w="1134"/>
      </w:tblGrid>
      <w:tr w:rsidR="00534541" w:rsidTr="006E34E7">
        <w:tc>
          <w:tcPr>
            <w:tcW w:w="3369" w:type="dxa"/>
          </w:tcPr>
          <w:p w:rsidR="00534541" w:rsidRDefault="00534541" w:rsidP="006E34E7"/>
        </w:tc>
        <w:tc>
          <w:tcPr>
            <w:tcW w:w="2715" w:type="dxa"/>
            <w:gridSpan w:val="2"/>
          </w:tcPr>
          <w:p w:rsidR="00534541" w:rsidRPr="001F67EC" w:rsidRDefault="00534541" w:rsidP="006E34E7">
            <w:pPr>
              <w:jc w:val="center"/>
            </w:pPr>
            <w:r>
              <w:t>BMI&lt;25 kg/m</w:t>
            </w:r>
            <w:r w:rsidRPr="00CC2824">
              <w:rPr>
                <w:vertAlign w:val="superscript"/>
              </w:rPr>
              <w:t>2</w:t>
            </w:r>
          </w:p>
        </w:tc>
        <w:tc>
          <w:tcPr>
            <w:tcW w:w="2529" w:type="dxa"/>
            <w:gridSpan w:val="2"/>
          </w:tcPr>
          <w:p w:rsidR="00534541" w:rsidRPr="001F67EC" w:rsidRDefault="00534541" w:rsidP="006E34E7">
            <w:pPr>
              <w:jc w:val="center"/>
            </w:pPr>
            <w:r>
              <w:t>BMI≥25 kg/m</w:t>
            </w:r>
            <w:r w:rsidRPr="00CC2824"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534541" w:rsidRDefault="00534541" w:rsidP="006E34E7"/>
        </w:tc>
      </w:tr>
      <w:tr w:rsidR="00534541" w:rsidTr="006E34E7">
        <w:tc>
          <w:tcPr>
            <w:tcW w:w="3369" w:type="dxa"/>
          </w:tcPr>
          <w:p w:rsidR="00534541" w:rsidRDefault="00534541" w:rsidP="006E34E7"/>
        </w:tc>
        <w:tc>
          <w:tcPr>
            <w:tcW w:w="992" w:type="dxa"/>
          </w:tcPr>
          <w:p w:rsidR="00534541" w:rsidRPr="00DD3EC5" w:rsidRDefault="00534541" w:rsidP="006E34E7">
            <w:pPr>
              <w:rPr>
                <w:i/>
              </w:rPr>
            </w:pPr>
            <w:r>
              <w:t>Controls/Cases</w:t>
            </w:r>
          </w:p>
        </w:tc>
        <w:tc>
          <w:tcPr>
            <w:tcW w:w="1723" w:type="dxa"/>
            <w:hideMark/>
          </w:tcPr>
          <w:p w:rsidR="00534541" w:rsidRDefault="00534541" w:rsidP="006E34E7">
            <w:r>
              <w:t>Adjusted</w:t>
            </w:r>
            <w:r w:rsidRPr="00DD3EC5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a</w:t>
            </w:r>
          </w:p>
          <w:p w:rsidR="00534541" w:rsidRDefault="00534541" w:rsidP="006E34E7">
            <w:r>
              <w:t>OR (95%CI)</w:t>
            </w:r>
          </w:p>
        </w:tc>
        <w:tc>
          <w:tcPr>
            <w:tcW w:w="990" w:type="dxa"/>
          </w:tcPr>
          <w:p w:rsidR="00534541" w:rsidRDefault="00534541" w:rsidP="006E34E7">
            <w:r>
              <w:t>Controls/ Cases</w:t>
            </w:r>
          </w:p>
        </w:tc>
        <w:tc>
          <w:tcPr>
            <w:tcW w:w="1539" w:type="dxa"/>
          </w:tcPr>
          <w:p w:rsidR="00534541" w:rsidRDefault="00534541" w:rsidP="006E34E7">
            <w:r>
              <w:t xml:space="preserve">Adjusted </w:t>
            </w:r>
            <w:r>
              <w:rPr>
                <w:vertAlign w:val="superscript"/>
              </w:rPr>
              <w:t>a</w:t>
            </w:r>
          </w:p>
          <w:p w:rsidR="00534541" w:rsidRDefault="00534541" w:rsidP="006E34E7">
            <w:r>
              <w:t>OR (95%CI)</w:t>
            </w:r>
          </w:p>
        </w:tc>
        <w:tc>
          <w:tcPr>
            <w:tcW w:w="1134" w:type="dxa"/>
          </w:tcPr>
          <w:p w:rsidR="00534541" w:rsidRDefault="00534541" w:rsidP="006E34E7">
            <w:r w:rsidRPr="00E60674">
              <w:rPr>
                <w:i/>
              </w:rPr>
              <w:t xml:space="preserve">P </w:t>
            </w:r>
            <w:r>
              <w:t>for interaction</w:t>
            </w:r>
          </w:p>
        </w:tc>
      </w:tr>
      <w:tr w:rsidR="00534541" w:rsidTr="006E34E7">
        <w:tc>
          <w:tcPr>
            <w:tcW w:w="3369" w:type="dxa"/>
            <w:hideMark/>
          </w:tcPr>
          <w:p w:rsidR="00534541" w:rsidRPr="00923888" w:rsidRDefault="00534541" w:rsidP="006E34E7">
            <w:r w:rsidRPr="00923888">
              <w:t>REFLUX OESOPHAGITIS</w:t>
            </w:r>
            <w:r w:rsidRPr="00923888">
              <w:rPr>
                <w:vertAlign w:val="superscript"/>
              </w:rPr>
              <w:t xml:space="preserve"> b</w:t>
            </w:r>
          </w:p>
        </w:tc>
        <w:tc>
          <w:tcPr>
            <w:tcW w:w="992" w:type="dxa"/>
          </w:tcPr>
          <w:p w:rsidR="00534541" w:rsidRDefault="00534541" w:rsidP="006E34E7"/>
        </w:tc>
        <w:tc>
          <w:tcPr>
            <w:tcW w:w="1723" w:type="dxa"/>
          </w:tcPr>
          <w:p w:rsidR="00534541" w:rsidRDefault="00534541" w:rsidP="006E34E7"/>
        </w:tc>
        <w:tc>
          <w:tcPr>
            <w:tcW w:w="990" w:type="dxa"/>
          </w:tcPr>
          <w:p w:rsidR="00534541" w:rsidRDefault="00534541" w:rsidP="006E34E7"/>
        </w:tc>
        <w:tc>
          <w:tcPr>
            <w:tcW w:w="1539" w:type="dxa"/>
          </w:tcPr>
          <w:p w:rsidR="00534541" w:rsidRDefault="00534541" w:rsidP="006E34E7"/>
        </w:tc>
        <w:tc>
          <w:tcPr>
            <w:tcW w:w="1134" w:type="dxa"/>
          </w:tcPr>
          <w:p w:rsidR="00534541" w:rsidRDefault="00534541" w:rsidP="006E34E7"/>
        </w:tc>
      </w:tr>
      <w:tr w:rsidR="00534541" w:rsidTr="006E34E7">
        <w:tc>
          <w:tcPr>
            <w:tcW w:w="3369" w:type="dxa"/>
            <w:shd w:val="clear" w:color="auto" w:fill="auto"/>
            <w:hideMark/>
          </w:tcPr>
          <w:p w:rsidR="00534541" w:rsidRPr="00923888" w:rsidRDefault="00534541" w:rsidP="006E34E7">
            <w:r w:rsidRPr="00923888">
              <w:t>DII density (units/kcal/d)</w:t>
            </w:r>
          </w:p>
          <w:p w:rsidR="00534541" w:rsidRPr="00923888" w:rsidRDefault="00534541" w:rsidP="006E34E7">
            <w:r w:rsidRPr="00923888">
              <w:t xml:space="preserve">          &lt;-0.12</w:t>
            </w:r>
          </w:p>
          <w:p w:rsidR="00534541" w:rsidRPr="00923888" w:rsidRDefault="00534541" w:rsidP="006E34E7">
            <w:r w:rsidRPr="00923888">
              <w:t xml:space="preserve">          -0.12- &lt;1.91</w:t>
            </w:r>
          </w:p>
          <w:p w:rsidR="00534541" w:rsidRPr="00923888" w:rsidRDefault="00534541" w:rsidP="006E34E7">
            <w:r w:rsidRPr="00923888">
              <w:t xml:space="preserve">           ≥1.91</w:t>
            </w:r>
          </w:p>
        </w:tc>
        <w:tc>
          <w:tcPr>
            <w:tcW w:w="992" w:type="dxa"/>
            <w:shd w:val="clear" w:color="auto" w:fill="auto"/>
          </w:tcPr>
          <w:p w:rsidR="00534541" w:rsidRPr="00D13EFB" w:rsidRDefault="00534541" w:rsidP="006E34E7"/>
          <w:p w:rsidR="00534541" w:rsidRPr="00D13EFB" w:rsidRDefault="00534541" w:rsidP="006E34E7">
            <w:r>
              <w:t>12/7</w:t>
            </w:r>
          </w:p>
          <w:p w:rsidR="00534541" w:rsidRPr="00D13EFB" w:rsidRDefault="00534541" w:rsidP="006E34E7">
            <w:r>
              <w:t>13/21</w:t>
            </w:r>
          </w:p>
          <w:p w:rsidR="00534541" w:rsidRPr="00D13EFB" w:rsidRDefault="00534541" w:rsidP="006E34E7">
            <w:r>
              <w:t>14</w:t>
            </w:r>
            <w:r w:rsidRPr="00D13EFB">
              <w:t>/</w:t>
            </w:r>
            <w:r>
              <w:t>26</w:t>
            </w:r>
          </w:p>
        </w:tc>
        <w:tc>
          <w:tcPr>
            <w:tcW w:w="1723" w:type="dxa"/>
            <w:shd w:val="clear" w:color="auto" w:fill="auto"/>
          </w:tcPr>
          <w:p w:rsidR="00534541" w:rsidRPr="00D13EFB" w:rsidRDefault="00534541" w:rsidP="006E34E7"/>
          <w:p w:rsidR="00534541" w:rsidRPr="00D13EFB" w:rsidRDefault="00534541" w:rsidP="006E34E7">
            <w:r w:rsidRPr="00D13EFB">
              <w:t>1.00</w:t>
            </w:r>
          </w:p>
          <w:p w:rsidR="00534541" w:rsidRPr="00D13EFB" w:rsidRDefault="00534541" w:rsidP="006E34E7">
            <w:r>
              <w:t>0.88 (0.18-4.29</w:t>
            </w:r>
            <w:r w:rsidRPr="00D13EFB">
              <w:t>)</w:t>
            </w:r>
          </w:p>
          <w:p w:rsidR="00534541" w:rsidRPr="00D13EFB" w:rsidRDefault="00534541" w:rsidP="006E34E7">
            <w:r>
              <w:t>1.10 (0.24-5.03)</w:t>
            </w:r>
          </w:p>
        </w:tc>
        <w:tc>
          <w:tcPr>
            <w:tcW w:w="990" w:type="dxa"/>
          </w:tcPr>
          <w:p w:rsidR="00534541" w:rsidRPr="00D13EFB" w:rsidRDefault="00534541" w:rsidP="006E34E7"/>
          <w:p w:rsidR="00534541" w:rsidRPr="00D13EFB" w:rsidRDefault="00534541" w:rsidP="006E34E7">
            <w:r>
              <w:t>27/27</w:t>
            </w:r>
          </w:p>
          <w:p w:rsidR="00534541" w:rsidRPr="00D13EFB" w:rsidRDefault="00534541" w:rsidP="006E34E7">
            <w:r>
              <w:t>27/61</w:t>
            </w:r>
          </w:p>
          <w:p w:rsidR="00534541" w:rsidRPr="00D13EFB" w:rsidRDefault="00534541" w:rsidP="006E34E7">
            <w:r>
              <w:t>26</w:t>
            </w:r>
            <w:r w:rsidRPr="00D13EFB">
              <w:t>/</w:t>
            </w:r>
            <w:r>
              <w:t>77</w:t>
            </w:r>
          </w:p>
        </w:tc>
        <w:tc>
          <w:tcPr>
            <w:tcW w:w="1539" w:type="dxa"/>
          </w:tcPr>
          <w:p w:rsidR="00534541" w:rsidRPr="00D13EFB" w:rsidRDefault="00534541" w:rsidP="006E34E7"/>
          <w:p w:rsidR="00534541" w:rsidRPr="00D13EFB" w:rsidRDefault="00534541" w:rsidP="006E34E7">
            <w:r w:rsidRPr="00D13EFB">
              <w:t>1.00</w:t>
            </w:r>
          </w:p>
          <w:p w:rsidR="00534541" w:rsidRPr="00D13EFB" w:rsidRDefault="00534541" w:rsidP="006E34E7">
            <w:r>
              <w:t>1.74</w:t>
            </w:r>
            <w:r w:rsidRPr="00D13EFB">
              <w:t xml:space="preserve"> (0.</w:t>
            </w:r>
            <w:r>
              <w:t>78-3.90</w:t>
            </w:r>
            <w:r w:rsidRPr="00D13EFB">
              <w:t>)</w:t>
            </w:r>
          </w:p>
          <w:p w:rsidR="00534541" w:rsidRPr="00D13EFB" w:rsidRDefault="00534541" w:rsidP="006E34E7">
            <w:r>
              <w:t>2.25 (0.99-5.09</w:t>
            </w:r>
            <w:r w:rsidRPr="00D13EFB">
              <w:t>)</w:t>
            </w:r>
          </w:p>
        </w:tc>
        <w:tc>
          <w:tcPr>
            <w:tcW w:w="1134" w:type="dxa"/>
          </w:tcPr>
          <w:p w:rsidR="00534541" w:rsidRDefault="00534541" w:rsidP="006E34E7"/>
        </w:tc>
      </w:tr>
      <w:tr w:rsidR="00534541" w:rsidTr="006E34E7">
        <w:tc>
          <w:tcPr>
            <w:tcW w:w="3369" w:type="dxa"/>
            <w:shd w:val="clear" w:color="auto" w:fill="auto"/>
            <w:hideMark/>
          </w:tcPr>
          <w:p w:rsidR="00534541" w:rsidRPr="00923888" w:rsidRDefault="00534541" w:rsidP="006E34E7">
            <w:r w:rsidRPr="00923888">
              <w:t xml:space="preserve">   </w:t>
            </w:r>
            <w:r w:rsidRPr="00923888">
              <w:rPr>
                <w:i/>
              </w:rPr>
              <w:t xml:space="preserve"> P</w:t>
            </w:r>
            <w:r w:rsidRPr="00923888">
              <w:t xml:space="preserve"> for trend</w:t>
            </w:r>
          </w:p>
        </w:tc>
        <w:tc>
          <w:tcPr>
            <w:tcW w:w="992" w:type="dxa"/>
            <w:shd w:val="clear" w:color="auto" w:fill="auto"/>
          </w:tcPr>
          <w:p w:rsidR="00534541" w:rsidRPr="00D13EFB" w:rsidRDefault="00534541" w:rsidP="006E34E7"/>
        </w:tc>
        <w:tc>
          <w:tcPr>
            <w:tcW w:w="1723" w:type="dxa"/>
            <w:shd w:val="clear" w:color="auto" w:fill="auto"/>
            <w:hideMark/>
          </w:tcPr>
          <w:p w:rsidR="00534541" w:rsidRPr="00D13EFB" w:rsidRDefault="00534541" w:rsidP="006E34E7">
            <w:r w:rsidRPr="00D13EFB">
              <w:t>0.</w:t>
            </w:r>
            <w:r>
              <w:t>85</w:t>
            </w:r>
          </w:p>
        </w:tc>
        <w:tc>
          <w:tcPr>
            <w:tcW w:w="990" w:type="dxa"/>
          </w:tcPr>
          <w:p w:rsidR="00534541" w:rsidRPr="00D13EFB" w:rsidRDefault="00534541" w:rsidP="006E34E7"/>
        </w:tc>
        <w:tc>
          <w:tcPr>
            <w:tcW w:w="1539" w:type="dxa"/>
          </w:tcPr>
          <w:p w:rsidR="00534541" w:rsidRPr="00D13EFB" w:rsidRDefault="00534541" w:rsidP="006E34E7">
            <w:r>
              <w:t>0.06</w:t>
            </w:r>
          </w:p>
        </w:tc>
        <w:tc>
          <w:tcPr>
            <w:tcW w:w="1134" w:type="dxa"/>
          </w:tcPr>
          <w:p w:rsidR="00534541" w:rsidRDefault="00534541" w:rsidP="006E34E7">
            <w:r>
              <w:t>0.92</w:t>
            </w:r>
          </w:p>
        </w:tc>
      </w:tr>
      <w:tr w:rsidR="00534541" w:rsidTr="006E34E7">
        <w:tc>
          <w:tcPr>
            <w:tcW w:w="3369" w:type="dxa"/>
            <w:hideMark/>
          </w:tcPr>
          <w:p w:rsidR="00534541" w:rsidRPr="00923888" w:rsidRDefault="00534541" w:rsidP="006E34E7">
            <w:r w:rsidRPr="00923888">
              <w:t>BARRETT’S OESOPHAGUS</w:t>
            </w:r>
          </w:p>
        </w:tc>
        <w:tc>
          <w:tcPr>
            <w:tcW w:w="992" w:type="dxa"/>
          </w:tcPr>
          <w:p w:rsidR="00534541" w:rsidRDefault="00534541" w:rsidP="006E34E7"/>
        </w:tc>
        <w:tc>
          <w:tcPr>
            <w:tcW w:w="1723" w:type="dxa"/>
          </w:tcPr>
          <w:p w:rsidR="00534541" w:rsidRDefault="00534541" w:rsidP="006E34E7"/>
        </w:tc>
        <w:tc>
          <w:tcPr>
            <w:tcW w:w="990" w:type="dxa"/>
          </w:tcPr>
          <w:p w:rsidR="00534541" w:rsidRDefault="00534541" w:rsidP="006E34E7"/>
        </w:tc>
        <w:tc>
          <w:tcPr>
            <w:tcW w:w="1539" w:type="dxa"/>
          </w:tcPr>
          <w:p w:rsidR="00534541" w:rsidRDefault="00534541" w:rsidP="006E34E7"/>
        </w:tc>
        <w:tc>
          <w:tcPr>
            <w:tcW w:w="1134" w:type="dxa"/>
          </w:tcPr>
          <w:p w:rsidR="00534541" w:rsidRDefault="00534541" w:rsidP="006E34E7"/>
        </w:tc>
      </w:tr>
      <w:tr w:rsidR="00534541" w:rsidTr="006E34E7">
        <w:tc>
          <w:tcPr>
            <w:tcW w:w="3369" w:type="dxa"/>
            <w:hideMark/>
          </w:tcPr>
          <w:p w:rsidR="00534541" w:rsidRPr="00923888" w:rsidRDefault="00534541" w:rsidP="006E34E7">
            <w:r w:rsidRPr="00923888">
              <w:t>DII density (units/kcal/d)</w:t>
            </w:r>
          </w:p>
          <w:p w:rsidR="00534541" w:rsidRPr="00923888" w:rsidRDefault="00534541" w:rsidP="006E34E7">
            <w:r w:rsidRPr="00923888">
              <w:t xml:space="preserve">          &lt;0.34</w:t>
            </w:r>
          </w:p>
          <w:p w:rsidR="00534541" w:rsidRPr="00923888" w:rsidRDefault="00534541" w:rsidP="006E34E7">
            <w:r w:rsidRPr="00923888">
              <w:t xml:space="preserve">          0.34- &lt;1.98</w:t>
            </w:r>
          </w:p>
          <w:p w:rsidR="00534541" w:rsidRPr="00923888" w:rsidRDefault="00534541" w:rsidP="006E34E7">
            <w:r w:rsidRPr="00923888">
              <w:t xml:space="preserve">          ≥1.98</w:t>
            </w:r>
          </w:p>
        </w:tc>
        <w:tc>
          <w:tcPr>
            <w:tcW w:w="992" w:type="dxa"/>
          </w:tcPr>
          <w:p w:rsidR="00534541" w:rsidRDefault="00534541" w:rsidP="006E34E7"/>
          <w:p w:rsidR="00534541" w:rsidRDefault="00534541" w:rsidP="006E34E7">
            <w:r>
              <w:t>22/8</w:t>
            </w:r>
          </w:p>
          <w:p w:rsidR="00534541" w:rsidRDefault="00534541" w:rsidP="006E34E7">
            <w:r>
              <w:t>27/27</w:t>
            </w:r>
          </w:p>
          <w:p w:rsidR="00534541" w:rsidRDefault="00534541" w:rsidP="006E34E7">
            <w:r>
              <w:t>30/39</w:t>
            </w:r>
          </w:p>
        </w:tc>
        <w:tc>
          <w:tcPr>
            <w:tcW w:w="1723" w:type="dxa"/>
          </w:tcPr>
          <w:p w:rsidR="00534541" w:rsidRDefault="00534541" w:rsidP="006E34E7"/>
          <w:p w:rsidR="00534541" w:rsidRDefault="00534541" w:rsidP="006E34E7">
            <w:r>
              <w:t>1.00</w:t>
            </w:r>
          </w:p>
          <w:p w:rsidR="00534541" w:rsidRDefault="00534541" w:rsidP="006E34E7">
            <w:r>
              <w:t>3.00 (1.02-8.79)</w:t>
            </w:r>
          </w:p>
          <w:p w:rsidR="00534541" w:rsidRDefault="00534541" w:rsidP="006E34E7">
            <w:r>
              <w:t>3.61 (1.15-11.34)</w:t>
            </w:r>
          </w:p>
        </w:tc>
        <w:tc>
          <w:tcPr>
            <w:tcW w:w="990" w:type="dxa"/>
          </w:tcPr>
          <w:p w:rsidR="00534541" w:rsidRDefault="00534541" w:rsidP="006E34E7"/>
          <w:p w:rsidR="00534541" w:rsidRDefault="00534541" w:rsidP="006E34E7">
            <w:r>
              <w:t>63/37</w:t>
            </w:r>
          </w:p>
          <w:p w:rsidR="00534541" w:rsidRDefault="00534541" w:rsidP="006E34E7">
            <w:r>
              <w:t>59/49</w:t>
            </w:r>
          </w:p>
          <w:p w:rsidR="00534541" w:rsidRDefault="00534541" w:rsidP="006E34E7">
            <w:r>
              <w:t>55/60</w:t>
            </w:r>
          </w:p>
        </w:tc>
        <w:tc>
          <w:tcPr>
            <w:tcW w:w="1539" w:type="dxa"/>
          </w:tcPr>
          <w:p w:rsidR="00534541" w:rsidRDefault="00534541" w:rsidP="006E34E7"/>
          <w:p w:rsidR="00534541" w:rsidRDefault="00534541" w:rsidP="006E34E7">
            <w:r>
              <w:t>1.00</w:t>
            </w:r>
          </w:p>
          <w:p w:rsidR="00534541" w:rsidRDefault="00534541" w:rsidP="006E34E7">
            <w:r>
              <w:t>1.57 (0.84-2.94)</w:t>
            </w:r>
          </w:p>
          <w:p w:rsidR="00534541" w:rsidRDefault="00534541" w:rsidP="006E34E7">
            <w:r>
              <w:t>1.79 (0.97-3.31)</w:t>
            </w:r>
          </w:p>
        </w:tc>
        <w:tc>
          <w:tcPr>
            <w:tcW w:w="1134" w:type="dxa"/>
          </w:tcPr>
          <w:p w:rsidR="00534541" w:rsidRDefault="00534541" w:rsidP="006E34E7"/>
        </w:tc>
      </w:tr>
      <w:tr w:rsidR="00534541" w:rsidTr="006E34E7">
        <w:tc>
          <w:tcPr>
            <w:tcW w:w="3369" w:type="dxa"/>
            <w:hideMark/>
          </w:tcPr>
          <w:p w:rsidR="00534541" w:rsidRPr="00923888" w:rsidRDefault="00534541" w:rsidP="006E34E7">
            <w:r w:rsidRPr="00923888">
              <w:t xml:space="preserve">   </w:t>
            </w:r>
            <w:r w:rsidRPr="00923888">
              <w:rPr>
                <w:i/>
              </w:rPr>
              <w:t>P</w:t>
            </w:r>
            <w:r w:rsidRPr="00923888">
              <w:t xml:space="preserve"> for trend</w:t>
            </w:r>
          </w:p>
        </w:tc>
        <w:tc>
          <w:tcPr>
            <w:tcW w:w="992" w:type="dxa"/>
          </w:tcPr>
          <w:p w:rsidR="00534541" w:rsidRDefault="00534541" w:rsidP="006E34E7"/>
        </w:tc>
        <w:tc>
          <w:tcPr>
            <w:tcW w:w="1723" w:type="dxa"/>
            <w:hideMark/>
          </w:tcPr>
          <w:p w:rsidR="00534541" w:rsidRDefault="00534541" w:rsidP="006E34E7">
            <w:r>
              <w:t>0.04</w:t>
            </w:r>
          </w:p>
        </w:tc>
        <w:tc>
          <w:tcPr>
            <w:tcW w:w="990" w:type="dxa"/>
          </w:tcPr>
          <w:p w:rsidR="00534541" w:rsidRDefault="00534541" w:rsidP="006E34E7"/>
        </w:tc>
        <w:tc>
          <w:tcPr>
            <w:tcW w:w="1539" w:type="dxa"/>
          </w:tcPr>
          <w:p w:rsidR="00534541" w:rsidRDefault="00534541" w:rsidP="006E34E7">
            <w:r>
              <w:t>0.07</w:t>
            </w:r>
          </w:p>
        </w:tc>
        <w:tc>
          <w:tcPr>
            <w:tcW w:w="1134" w:type="dxa"/>
          </w:tcPr>
          <w:p w:rsidR="00534541" w:rsidRDefault="00534541" w:rsidP="006E34E7">
            <w:r>
              <w:t>0.31</w:t>
            </w:r>
          </w:p>
        </w:tc>
      </w:tr>
      <w:tr w:rsidR="00534541" w:rsidTr="006E34E7">
        <w:tc>
          <w:tcPr>
            <w:tcW w:w="4361" w:type="dxa"/>
            <w:gridSpan w:val="2"/>
            <w:hideMark/>
          </w:tcPr>
          <w:p w:rsidR="00534541" w:rsidRPr="00923888" w:rsidRDefault="00534541" w:rsidP="006E34E7">
            <w:r>
              <w:t>OESOPHAGEAL</w:t>
            </w:r>
            <w:r w:rsidRPr="00923888">
              <w:t xml:space="preserve"> ADENOCARCINOMA</w:t>
            </w:r>
          </w:p>
        </w:tc>
        <w:tc>
          <w:tcPr>
            <w:tcW w:w="1723" w:type="dxa"/>
          </w:tcPr>
          <w:p w:rsidR="00534541" w:rsidRDefault="00534541" w:rsidP="006E34E7"/>
        </w:tc>
        <w:tc>
          <w:tcPr>
            <w:tcW w:w="990" w:type="dxa"/>
          </w:tcPr>
          <w:p w:rsidR="00534541" w:rsidRDefault="00534541" w:rsidP="006E34E7"/>
        </w:tc>
        <w:tc>
          <w:tcPr>
            <w:tcW w:w="1539" w:type="dxa"/>
          </w:tcPr>
          <w:p w:rsidR="00534541" w:rsidRDefault="00534541" w:rsidP="006E34E7"/>
        </w:tc>
        <w:tc>
          <w:tcPr>
            <w:tcW w:w="1134" w:type="dxa"/>
          </w:tcPr>
          <w:p w:rsidR="00534541" w:rsidRDefault="00534541" w:rsidP="006E34E7"/>
        </w:tc>
      </w:tr>
      <w:tr w:rsidR="00534541" w:rsidTr="006E34E7">
        <w:trPr>
          <w:trHeight w:val="74"/>
        </w:trPr>
        <w:tc>
          <w:tcPr>
            <w:tcW w:w="3369" w:type="dxa"/>
            <w:hideMark/>
          </w:tcPr>
          <w:p w:rsidR="00534541" w:rsidRPr="00923888" w:rsidRDefault="00534541" w:rsidP="006E34E7">
            <w:r w:rsidRPr="00923888">
              <w:t>DII density (units/kcal/d)</w:t>
            </w:r>
          </w:p>
          <w:p w:rsidR="00534541" w:rsidRPr="00923888" w:rsidRDefault="00534541" w:rsidP="006E34E7">
            <w:r w:rsidRPr="00923888">
              <w:t xml:space="preserve">          &lt;0.34</w:t>
            </w:r>
          </w:p>
          <w:p w:rsidR="00534541" w:rsidRPr="00923888" w:rsidRDefault="00534541" w:rsidP="006E34E7">
            <w:r w:rsidRPr="00923888">
              <w:t xml:space="preserve">          0.34- &lt;1.98</w:t>
            </w:r>
          </w:p>
          <w:p w:rsidR="00534541" w:rsidRPr="00923888" w:rsidRDefault="00534541" w:rsidP="006E34E7">
            <w:r w:rsidRPr="00923888">
              <w:t xml:space="preserve">          ≥1.98</w:t>
            </w:r>
          </w:p>
        </w:tc>
        <w:tc>
          <w:tcPr>
            <w:tcW w:w="992" w:type="dxa"/>
          </w:tcPr>
          <w:p w:rsidR="00534541" w:rsidRDefault="00534541" w:rsidP="006E34E7"/>
          <w:p w:rsidR="00534541" w:rsidRDefault="00534541" w:rsidP="006E34E7">
            <w:r>
              <w:t>22/8</w:t>
            </w:r>
          </w:p>
          <w:p w:rsidR="00534541" w:rsidRDefault="00534541" w:rsidP="006E34E7">
            <w:r>
              <w:t>27/13</w:t>
            </w:r>
          </w:p>
          <w:p w:rsidR="00534541" w:rsidRDefault="00534541" w:rsidP="006E34E7">
            <w:r>
              <w:t>30/30</w:t>
            </w:r>
          </w:p>
        </w:tc>
        <w:tc>
          <w:tcPr>
            <w:tcW w:w="1723" w:type="dxa"/>
          </w:tcPr>
          <w:p w:rsidR="00534541" w:rsidRDefault="00534541" w:rsidP="006E34E7"/>
          <w:p w:rsidR="00534541" w:rsidRDefault="00534541" w:rsidP="006E34E7">
            <w:r>
              <w:t>1.00</w:t>
            </w:r>
          </w:p>
          <w:p w:rsidR="00534541" w:rsidRDefault="00534541" w:rsidP="006E34E7">
            <w:r>
              <w:t>1.48 (0.42-5.21)</w:t>
            </w:r>
          </w:p>
          <w:p w:rsidR="00534541" w:rsidRDefault="00534541" w:rsidP="006E34E7">
            <w:r>
              <w:t>2.00 (0.59-6.81)</w:t>
            </w:r>
          </w:p>
        </w:tc>
        <w:tc>
          <w:tcPr>
            <w:tcW w:w="990" w:type="dxa"/>
          </w:tcPr>
          <w:p w:rsidR="00534541" w:rsidRDefault="00534541" w:rsidP="006E34E7"/>
          <w:p w:rsidR="00534541" w:rsidRDefault="00534541" w:rsidP="006E34E7">
            <w:r>
              <w:t>63/37</w:t>
            </w:r>
          </w:p>
          <w:p w:rsidR="00534541" w:rsidRDefault="00534541" w:rsidP="006E34E7">
            <w:r>
              <w:t>59/58</w:t>
            </w:r>
          </w:p>
          <w:p w:rsidR="00534541" w:rsidRDefault="00534541" w:rsidP="006E34E7">
            <w:r>
              <w:t>55/78</w:t>
            </w:r>
          </w:p>
        </w:tc>
        <w:tc>
          <w:tcPr>
            <w:tcW w:w="1539" w:type="dxa"/>
          </w:tcPr>
          <w:p w:rsidR="00534541" w:rsidRDefault="00534541" w:rsidP="006E34E7"/>
          <w:p w:rsidR="00534541" w:rsidRDefault="00534541" w:rsidP="006E34E7">
            <w:r>
              <w:t>1.00</w:t>
            </w:r>
          </w:p>
          <w:p w:rsidR="00534541" w:rsidRDefault="00534541" w:rsidP="006E34E7">
            <w:r>
              <w:t>1.68 (0.90-3.14)</w:t>
            </w:r>
          </w:p>
          <w:p w:rsidR="00534541" w:rsidRDefault="00534541" w:rsidP="006E34E7">
            <w:r>
              <w:t>2.33 (1.26-4.27)</w:t>
            </w:r>
          </w:p>
        </w:tc>
        <w:tc>
          <w:tcPr>
            <w:tcW w:w="1134" w:type="dxa"/>
          </w:tcPr>
          <w:p w:rsidR="00534541" w:rsidRDefault="00534541" w:rsidP="006E34E7"/>
        </w:tc>
      </w:tr>
      <w:tr w:rsidR="00534541" w:rsidTr="006E34E7">
        <w:tc>
          <w:tcPr>
            <w:tcW w:w="3369" w:type="dxa"/>
            <w:hideMark/>
          </w:tcPr>
          <w:p w:rsidR="00534541" w:rsidRPr="00BA4F5A" w:rsidRDefault="00534541" w:rsidP="006E34E7">
            <w:r w:rsidRPr="00BA4F5A">
              <w:t xml:space="preserve">   </w:t>
            </w:r>
            <w:r w:rsidRPr="008F2366">
              <w:rPr>
                <w:i/>
              </w:rPr>
              <w:t>P</w:t>
            </w:r>
            <w:r w:rsidRPr="00BA4F5A">
              <w:t xml:space="preserve"> for tr</w:t>
            </w:r>
            <w:r>
              <w:t>end</w:t>
            </w:r>
          </w:p>
        </w:tc>
        <w:tc>
          <w:tcPr>
            <w:tcW w:w="992" w:type="dxa"/>
          </w:tcPr>
          <w:p w:rsidR="00534541" w:rsidRDefault="00534541" w:rsidP="006E34E7"/>
        </w:tc>
        <w:tc>
          <w:tcPr>
            <w:tcW w:w="1723" w:type="dxa"/>
            <w:hideMark/>
          </w:tcPr>
          <w:p w:rsidR="00534541" w:rsidRDefault="00534541" w:rsidP="006E34E7">
            <w:r>
              <w:t>0.27</w:t>
            </w:r>
          </w:p>
        </w:tc>
        <w:tc>
          <w:tcPr>
            <w:tcW w:w="990" w:type="dxa"/>
          </w:tcPr>
          <w:p w:rsidR="00534541" w:rsidRDefault="00534541" w:rsidP="006E34E7"/>
        </w:tc>
        <w:tc>
          <w:tcPr>
            <w:tcW w:w="1539" w:type="dxa"/>
          </w:tcPr>
          <w:p w:rsidR="00534541" w:rsidRDefault="00534541" w:rsidP="006E34E7">
            <w:r>
              <w:t>0.007</w:t>
            </w:r>
          </w:p>
        </w:tc>
        <w:tc>
          <w:tcPr>
            <w:tcW w:w="1134" w:type="dxa"/>
          </w:tcPr>
          <w:p w:rsidR="00534541" w:rsidRDefault="00534541" w:rsidP="006E34E7">
            <w:r>
              <w:t>0.88</w:t>
            </w:r>
          </w:p>
        </w:tc>
      </w:tr>
    </w:tbl>
    <w:p w:rsidR="00534541" w:rsidRDefault="00534541" w:rsidP="00534541">
      <w:pPr>
        <w:ind w:right="-60"/>
        <w:rPr>
          <w:vertAlign w:val="superscript"/>
        </w:rPr>
      </w:pPr>
    </w:p>
    <w:p w:rsidR="00534541" w:rsidRDefault="00534541" w:rsidP="00534541">
      <w:pPr>
        <w:ind w:right="-60"/>
      </w:pPr>
      <w:r w:rsidRPr="00DD3EC5">
        <w:rPr>
          <w:vertAlign w:val="superscript"/>
        </w:rPr>
        <w:t>a</w:t>
      </w:r>
      <w:r>
        <w:t xml:space="preserve"> Adjusted for age (years), sex, energy intake, </w:t>
      </w:r>
      <w:r w:rsidRPr="002D0277">
        <w:t>smoking status</w:t>
      </w:r>
      <w:r>
        <w:t xml:space="preserve"> </w:t>
      </w:r>
      <w:r w:rsidRPr="002D0277">
        <w:t>(current/previous/</w:t>
      </w:r>
      <w:r>
        <w:t>never)</w:t>
      </w:r>
      <w:r w:rsidRPr="002D0277">
        <w:t>, education (years), occupation (manual/non-manual), alcohol (g/d), regular NSAID use (</w:t>
      </w:r>
      <w:r>
        <w:t>ever/never</w:t>
      </w:r>
      <w:r w:rsidRPr="002D0277">
        <w:t>),</w:t>
      </w:r>
      <w:r>
        <w:t xml:space="preserve"> </w:t>
      </w:r>
      <w:r w:rsidRPr="008659DB">
        <w:rPr>
          <w:i/>
        </w:rPr>
        <w:t>H</w:t>
      </w:r>
      <w:r>
        <w:rPr>
          <w:i/>
        </w:rPr>
        <w:t>elicobacter</w:t>
      </w:r>
      <w:r w:rsidRPr="008659DB">
        <w:rPr>
          <w:i/>
        </w:rPr>
        <w:t xml:space="preserve"> pylori</w:t>
      </w:r>
      <w:r>
        <w:t xml:space="preserve"> infection (seropositive/seronegative) and location (Northern Ireland/Republic of Ireland).</w:t>
      </w:r>
    </w:p>
    <w:p w:rsidR="00534541" w:rsidRDefault="00534541" w:rsidP="00534541">
      <w:pPr>
        <w:spacing w:line="480" w:lineRule="auto"/>
      </w:pPr>
      <w:r>
        <w:rPr>
          <w:vertAlign w:val="superscript"/>
        </w:rPr>
        <w:t>b</w:t>
      </w:r>
      <w:r w:rsidRPr="006C1FC5">
        <w:rPr>
          <w:vertAlign w:val="superscript"/>
        </w:rPr>
        <w:t xml:space="preserve"> </w:t>
      </w:r>
      <w:r>
        <w:t>Analysis limited to Northern Ireland controls only.</w:t>
      </w:r>
    </w:p>
    <w:p w:rsidR="00534541" w:rsidRPr="004C3A7F" w:rsidRDefault="00534541" w:rsidP="00534541">
      <w:pPr>
        <w:ind w:right="-60"/>
      </w:pPr>
    </w:p>
    <w:p w:rsidR="00534541" w:rsidRDefault="00534541" w:rsidP="00534541"/>
    <w:p w:rsidR="007B6599" w:rsidRDefault="007B6599">
      <w:bookmarkStart w:id="0" w:name="_GoBack"/>
      <w:bookmarkEnd w:id="0"/>
    </w:p>
    <w:sectPr w:rsidR="007B6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41"/>
    <w:rsid w:val="00010AD9"/>
    <w:rsid w:val="00037A6D"/>
    <w:rsid w:val="00062F2D"/>
    <w:rsid w:val="00083787"/>
    <w:rsid w:val="00094BF7"/>
    <w:rsid w:val="000B004E"/>
    <w:rsid w:val="000D4195"/>
    <w:rsid w:val="000E2415"/>
    <w:rsid w:val="00120507"/>
    <w:rsid w:val="00141E29"/>
    <w:rsid w:val="00170C2A"/>
    <w:rsid w:val="00181BA1"/>
    <w:rsid w:val="00183CF7"/>
    <w:rsid w:val="00193A55"/>
    <w:rsid w:val="00196D7F"/>
    <w:rsid w:val="001A4600"/>
    <w:rsid w:val="001B5BF6"/>
    <w:rsid w:val="001F6252"/>
    <w:rsid w:val="00211B3B"/>
    <w:rsid w:val="00212AD4"/>
    <w:rsid w:val="00214E8F"/>
    <w:rsid w:val="00242335"/>
    <w:rsid w:val="00267478"/>
    <w:rsid w:val="00270D37"/>
    <w:rsid w:val="00283764"/>
    <w:rsid w:val="002C07AE"/>
    <w:rsid w:val="002F376F"/>
    <w:rsid w:val="00321A84"/>
    <w:rsid w:val="00376691"/>
    <w:rsid w:val="00381F32"/>
    <w:rsid w:val="0038617D"/>
    <w:rsid w:val="003978DD"/>
    <w:rsid w:val="003B378C"/>
    <w:rsid w:val="003D476F"/>
    <w:rsid w:val="003E4EB6"/>
    <w:rsid w:val="003F058A"/>
    <w:rsid w:val="00411EC7"/>
    <w:rsid w:val="00415D44"/>
    <w:rsid w:val="004240B3"/>
    <w:rsid w:val="00433E43"/>
    <w:rsid w:val="00440AE1"/>
    <w:rsid w:val="00464443"/>
    <w:rsid w:val="00466A89"/>
    <w:rsid w:val="004717AD"/>
    <w:rsid w:val="0048598E"/>
    <w:rsid w:val="004B2A2B"/>
    <w:rsid w:val="004B2CA4"/>
    <w:rsid w:val="004C660A"/>
    <w:rsid w:val="004C7BD7"/>
    <w:rsid w:val="004D3E96"/>
    <w:rsid w:val="004E1B87"/>
    <w:rsid w:val="004F2C87"/>
    <w:rsid w:val="004F3291"/>
    <w:rsid w:val="004F4180"/>
    <w:rsid w:val="00521939"/>
    <w:rsid w:val="00534541"/>
    <w:rsid w:val="00534D65"/>
    <w:rsid w:val="00537F4B"/>
    <w:rsid w:val="00543D21"/>
    <w:rsid w:val="00555C03"/>
    <w:rsid w:val="0057579A"/>
    <w:rsid w:val="00580DD3"/>
    <w:rsid w:val="00584909"/>
    <w:rsid w:val="0059566C"/>
    <w:rsid w:val="00597AC5"/>
    <w:rsid w:val="005A1218"/>
    <w:rsid w:val="005A20D4"/>
    <w:rsid w:val="005C6DA1"/>
    <w:rsid w:val="005D71C2"/>
    <w:rsid w:val="005E10DB"/>
    <w:rsid w:val="005E2EF4"/>
    <w:rsid w:val="00605D3E"/>
    <w:rsid w:val="00621A57"/>
    <w:rsid w:val="006249F3"/>
    <w:rsid w:val="00626CCB"/>
    <w:rsid w:val="00627BA2"/>
    <w:rsid w:val="00627E45"/>
    <w:rsid w:val="00630191"/>
    <w:rsid w:val="00631CD2"/>
    <w:rsid w:val="00652974"/>
    <w:rsid w:val="00661AE6"/>
    <w:rsid w:val="006874CC"/>
    <w:rsid w:val="006A4B1F"/>
    <w:rsid w:val="006B4BF1"/>
    <w:rsid w:val="006C29D7"/>
    <w:rsid w:val="006D1378"/>
    <w:rsid w:val="006E41BF"/>
    <w:rsid w:val="006E7B16"/>
    <w:rsid w:val="006F5123"/>
    <w:rsid w:val="00714F60"/>
    <w:rsid w:val="00716286"/>
    <w:rsid w:val="0072127C"/>
    <w:rsid w:val="00751B79"/>
    <w:rsid w:val="00753295"/>
    <w:rsid w:val="0075447C"/>
    <w:rsid w:val="00761A3E"/>
    <w:rsid w:val="00772993"/>
    <w:rsid w:val="00781167"/>
    <w:rsid w:val="007917FF"/>
    <w:rsid w:val="00794BCC"/>
    <w:rsid w:val="007A0CAC"/>
    <w:rsid w:val="007B6599"/>
    <w:rsid w:val="007D667A"/>
    <w:rsid w:val="007E5788"/>
    <w:rsid w:val="007F5AEC"/>
    <w:rsid w:val="0081687E"/>
    <w:rsid w:val="00824075"/>
    <w:rsid w:val="00846506"/>
    <w:rsid w:val="0084728F"/>
    <w:rsid w:val="00855DEF"/>
    <w:rsid w:val="008565D9"/>
    <w:rsid w:val="008804B5"/>
    <w:rsid w:val="00892D33"/>
    <w:rsid w:val="008F0DAD"/>
    <w:rsid w:val="00954A47"/>
    <w:rsid w:val="009563E9"/>
    <w:rsid w:val="00963513"/>
    <w:rsid w:val="009732CE"/>
    <w:rsid w:val="0098389F"/>
    <w:rsid w:val="00991682"/>
    <w:rsid w:val="009C7A46"/>
    <w:rsid w:val="009D29D2"/>
    <w:rsid w:val="009E748A"/>
    <w:rsid w:val="00A159D7"/>
    <w:rsid w:val="00A31EF4"/>
    <w:rsid w:val="00A41132"/>
    <w:rsid w:val="00A51EBD"/>
    <w:rsid w:val="00A70B2B"/>
    <w:rsid w:val="00A94BE2"/>
    <w:rsid w:val="00AD27F1"/>
    <w:rsid w:val="00B02CB3"/>
    <w:rsid w:val="00B101EA"/>
    <w:rsid w:val="00B150EF"/>
    <w:rsid w:val="00B24158"/>
    <w:rsid w:val="00B24669"/>
    <w:rsid w:val="00B33DAB"/>
    <w:rsid w:val="00B61A98"/>
    <w:rsid w:val="00B9021E"/>
    <w:rsid w:val="00B93FAF"/>
    <w:rsid w:val="00B977FA"/>
    <w:rsid w:val="00BA5A68"/>
    <w:rsid w:val="00BA6DBC"/>
    <w:rsid w:val="00BB1DF7"/>
    <w:rsid w:val="00BB2529"/>
    <w:rsid w:val="00BB6B92"/>
    <w:rsid w:val="00BC3524"/>
    <w:rsid w:val="00BC751C"/>
    <w:rsid w:val="00BD1AC3"/>
    <w:rsid w:val="00BD359A"/>
    <w:rsid w:val="00C04132"/>
    <w:rsid w:val="00C4533C"/>
    <w:rsid w:val="00C551C7"/>
    <w:rsid w:val="00C71BCA"/>
    <w:rsid w:val="00CA07FA"/>
    <w:rsid w:val="00CB2979"/>
    <w:rsid w:val="00CC2B3E"/>
    <w:rsid w:val="00D17DAB"/>
    <w:rsid w:val="00D32554"/>
    <w:rsid w:val="00D62596"/>
    <w:rsid w:val="00D63603"/>
    <w:rsid w:val="00D84245"/>
    <w:rsid w:val="00D86682"/>
    <w:rsid w:val="00DA17E3"/>
    <w:rsid w:val="00DB12A2"/>
    <w:rsid w:val="00DB59A8"/>
    <w:rsid w:val="00DD4C64"/>
    <w:rsid w:val="00DE6540"/>
    <w:rsid w:val="00E2712C"/>
    <w:rsid w:val="00E33105"/>
    <w:rsid w:val="00E42AE0"/>
    <w:rsid w:val="00E50683"/>
    <w:rsid w:val="00E77161"/>
    <w:rsid w:val="00E9615B"/>
    <w:rsid w:val="00EB618D"/>
    <w:rsid w:val="00EC0331"/>
    <w:rsid w:val="00EC46F2"/>
    <w:rsid w:val="00ED2A63"/>
    <w:rsid w:val="00EF3180"/>
    <w:rsid w:val="00F006E5"/>
    <w:rsid w:val="00F36D1B"/>
    <w:rsid w:val="00F51823"/>
    <w:rsid w:val="00F53738"/>
    <w:rsid w:val="00F57856"/>
    <w:rsid w:val="00F8418A"/>
    <w:rsid w:val="00F92B5B"/>
    <w:rsid w:val="00FC7A9F"/>
    <w:rsid w:val="00FD3B5F"/>
    <w:rsid w:val="00FD4799"/>
    <w:rsid w:val="00FF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2264A-AD32-41AC-807B-5DD78261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drnitshiv</dc:creator>
  <cp:keywords/>
  <dc:description/>
  <cp:lastModifiedBy>drnitshiv</cp:lastModifiedBy>
  <cp:revision>1</cp:revision>
  <dcterms:created xsi:type="dcterms:W3CDTF">2016-11-12T05:28:00Z</dcterms:created>
  <dcterms:modified xsi:type="dcterms:W3CDTF">2016-11-12T05:28:00Z</dcterms:modified>
</cp:coreProperties>
</file>