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8A618F" w:rsidRPr="004269F6" w:rsidTr="006D6C2E">
        <w:trPr>
          <w:trHeight w:val="4252"/>
        </w:trPr>
        <w:tc>
          <w:tcPr>
            <w:tcW w:w="5102" w:type="dxa"/>
          </w:tcPr>
          <w:p w:rsidR="008A618F" w:rsidRPr="004269F6" w:rsidRDefault="008A618F" w:rsidP="006D6C2E">
            <w:r>
              <w:rPr>
                <w:noProof/>
                <w:lang w:eastAsia="en-AU"/>
              </w:rPr>
              <w:drawing>
                <wp:inline distT="0" distB="0" distL="0" distR="0" wp14:anchorId="31AB7DD3" wp14:editId="1B06CB04">
                  <wp:extent cx="3219450" cy="2676525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A618F" w:rsidRDefault="008A618F" w:rsidP="006D6C2E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EA7173E" wp14:editId="1B33879B">
                  <wp:extent cx="2495550" cy="2662237"/>
                  <wp:effectExtent l="0" t="0" r="0" b="508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8A618F" w:rsidRPr="004269F6" w:rsidTr="006D6C2E">
        <w:tc>
          <w:tcPr>
            <w:tcW w:w="5102" w:type="dxa"/>
          </w:tcPr>
          <w:p w:rsidR="008A618F" w:rsidRDefault="008A618F" w:rsidP="006D6C2E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2E6164F" wp14:editId="6FF295BC">
                  <wp:extent cx="3219450" cy="2832100"/>
                  <wp:effectExtent l="0" t="0" r="0" b="635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A618F" w:rsidRDefault="008A618F" w:rsidP="006D6C2E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867409D" wp14:editId="3C268F7E">
                  <wp:extent cx="2495550" cy="2800350"/>
                  <wp:effectExtent l="0" t="0" r="0" b="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A618F" w:rsidRPr="00877A58" w:rsidTr="006D6C2E">
        <w:tc>
          <w:tcPr>
            <w:tcW w:w="5102" w:type="dxa"/>
          </w:tcPr>
          <w:p w:rsidR="008A618F" w:rsidRPr="00877A58" w:rsidRDefault="008A618F" w:rsidP="006D6C2E">
            <w:pPr>
              <w:spacing w:before="120"/>
              <w:ind w:right="-567"/>
              <w:jc w:val="center"/>
              <w:rPr>
                <w:rFonts w:ascii="Times New Roman" w:hAnsi="Times New Roman" w:cs="Times New Roman"/>
              </w:rPr>
            </w:pPr>
            <w:r w:rsidRPr="00877A58">
              <w:rPr>
                <w:rFonts w:ascii="Times New Roman" w:hAnsi="Times New Roman" w:cs="Times New Roman"/>
              </w:rPr>
              <w:t>Servings of fruit</w:t>
            </w:r>
          </w:p>
        </w:tc>
        <w:tc>
          <w:tcPr>
            <w:tcW w:w="3969" w:type="dxa"/>
          </w:tcPr>
          <w:p w:rsidR="008A618F" w:rsidRPr="00877A58" w:rsidRDefault="008A618F" w:rsidP="006D6C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77A58">
              <w:rPr>
                <w:rFonts w:ascii="Times New Roman" w:hAnsi="Times New Roman" w:cs="Times New Roman"/>
              </w:rPr>
              <w:t>Servings of vegetables</w:t>
            </w:r>
          </w:p>
        </w:tc>
      </w:tr>
      <w:tr w:rsidR="008A618F" w:rsidRPr="00877A58" w:rsidTr="006D6C2E">
        <w:tc>
          <w:tcPr>
            <w:tcW w:w="9071" w:type="dxa"/>
            <w:gridSpan w:val="2"/>
          </w:tcPr>
          <w:p w:rsidR="008A618F" w:rsidRPr="00877A58" w:rsidRDefault="00F160CD" w:rsidP="00F160C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Supplementary </w:t>
            </w:r>
            <w:r w:rsidR="008A618F" w:rsidRPr="00641E9D">
              <w:rPr>
                <w:rFonts w:ascii="Times New Roman" w:hAnsi="Times New Roman" w:cs="Times New Roman"/>
                <w:szCs w:val="24"/>
              </w:rPr>
              <w:t>Figure 1. Estimated proportions of the Vietnamese population consuming fruit and vegetable in three northern-most provinces (top) and two southern-most provinces (bottom)</w:t>
            </w:r>
          </w:p>
        </w:tc>
      </w:tr>
    </w:tbl>
    <w:p w:rsidR="00C32A6D" w:rsidRDefault="00C32A6D"/>
    <w:sectPr w:rsidR="00C32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8F"/>
    <w:rsid w:val="00042521"/>
    <w:rsid w:val="008A618F"/>
    <w:rsid w:val="00C32A6D"/>
    <w:rsid w:val="00F1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92571-A9C0-4354-808B-E3BF67F6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8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042521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b/>
      <w:color w:val="000000" w:themeColor="text1"/>
      <w:spacing w:val="-3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2521"/>
    <w:rPr>
      <w:rFonts w:ascii="Times New Roman" w:eastAsia="Times New Roman" w:hAnsi="Times New Roman" w:cs="Times New Roman"/>
      <w:b/>
      <w:color w:val="000000" w:themeColor="text1"/>
      <w:spacing w:val="-3"/>
      <w:sz w:val="24"/>
      <w:lang w:val="en-GB"/>
    </w:rPr>
  </w:style>
  <w:style w:type="table" w:styleId="TableGrid">
    <w:name w:val="Table Grid"/>
    <w:basedOn w:val="TableNormal"/>
    <w:uiPriority w:val="59"/>
    <w:rsid w:val="008A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011475557965121"/>
          <c:y val="2.424405848204203E-2"/>
          <c:w val="0.80027531089000614"/>
          <c:h val="0.95157294668649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Men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&lt; 1 serve</c:v>
                </c:pt>
                <c:pt idx="1">
                  <c:v>1-1.9 serves</c:v>
                </c:pt>
                <c:pt idx="2">
                  <c:v>2-2.9 serves</c:v>
                </c:pt>
                <c:pt idx="3">
                  <c:v>3-3.9 serves</c:v>
                </c:pt>
                <c:pt idx="4">
                  <c:v>4-4.9 serves</c:v>
                </c:pt>
                <c:pt idx="5">
                  <c:v>5+ serves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62.761766000000001</c:v>
                </c:pt>
                <c:pt idx="1">
                  <c:v>21.754080999999999</c:v>
                </c:pt>
                <c:pt idx="2">
                  <c:v>9.7932971999999996</c:v>
                </c:pt>
                <c:pt idx="3">
                  <c:v>2.4449757000000001</c:v>
                </c:pt>
                <c:pt idx="4">
                  <c:v>2.6210339999999999</c:v>
                </c:pt>
                <c:pt idx="5">
                  <c:v>0.62484561000000005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Women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&lt; 1 serve</c:v>
                </c:pt>
                <c:pt idx="1">
                  <c:v>1-1.9 serves</c:v>
                </c:pt>
                <c:pt idx="2">
                  <c:v>2-2.9 serves</c:v>
                </c:pt>
                <c:pt idx="3">
                  <c:v>3-3.9 serves</c:v>
                </c:pt>
                <c:pt idx="4">
                  <c:v>4-4.9 serves</c:v>
                </c:pt>
                <c:pt idx="5">
                  <c:v>5+ serves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57.108224</c:v>
                </c:pt>
                <c:pt idx="1">
                  <c:v>25.317557999999998</c:v>
                </c:pt>
                <c:pt idx="2">
                  <c:v>11.402868</c:v>
                </c:pt>
                <c:pt idx="3">
                  <c:v>2.8956585000000001</c:v>
                </c:pt>
                <c:pt idx="4">
                  <c:v>2.2729012000000002</c:v>
                </c:pt>
                <c:pt idx="5">
                  <c:v>1.0027908999999999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880960"/>
        <c:axId val="256881352"/>
      </c:barChart>
      <c:catAx>
        <c:axId val="256880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one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56881352"/>
        <c:crosses val="autoZero"/>
        <c:auto val="1"/>
        <c:lblAlgn val="ctr"/>
        <c:lblOffset val="100"/>
        <c:noMultiLvlLbl val="0"/>
      </c:catAx>
      <c:valAx>
        <c:axId val="25688135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 algn="l">
                  <a:defRPr/>
                </a:pPr>
                <a:r>
                  <a:rPr lang="en-A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Estimated</a:t>
                </a:r>
                <a:r>
                  <a:rPr lang="en-AU" sz="11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percentage of population</a:t>
                </a:r>
                <a:endParaRPr lang="en-AU" sz="11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3.0262311885570516E-2"/>
              <c:y val="5.0516247746611759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56880960"/>
        <c:crosses val="autoZero"/>
        <c:crossBetween val="between"/>
      </c:valAx>
    </c:plotArea>
    <c:legend>
      <c:legendPos val="t"/>
      <c:legendEntry>
        <c:idx val="1"/>
        <c:delete val="1"/>
      </c:legendEntry>
      <c:layout>
        <c:manualLayout>
          <c:xMode val="edge"/>
          <c:yMode val="edge"/>
          <c:x val="0.83437419434996662"/>
          <c:y val="3.8071753486330226E-2"/>
          <c:w val="0.16562571131259124"/>
          <c:h val="0.10948689911516314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239797085023467E-2"/>
          <c:y val="2.424405848204203E-2"/>
          <c:w val="0.9027400580452305"/>
          <c:h val="0.95157294668649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Men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&lt; 1 serve</c:v>
                </c:pt>
                <c:pt idx="1">
                  <c:v>1-1.9 serves</c:v>
                </c:pt>
                <c:pt idx="2">
                  <c:v>2-2.9 serves</c:v>
                </c:pt>
                <c:pt idx="3">
                  <c:v>3-3.9 serves</c:v>
                </c:pt>
                <c:pt idx="4">
                  <c:v>4-4.9 serves</c:v>
                </c:pt>
                <c:pt idx="5">
                  <c:v>5+ serves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4.7136472999999999</c:v>
                </c:pt>
                <c:pt idx="1">
                  <c:v>13.240553</c:v>
                </c:pt>
                <c:pt idx="2">
                  <c:v>37.906928999999998</c:v>
                </c:pt>
                <c:pt idx="3">
                  <c:v>8.9786713999999996</c:v>
                </c:pt>
                <c:pt idx="4">
                  <c:v>23.294333000000002</c:v>
                </c:pt>
                <c:pt idx="5">
                  <c:v>11.865866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Women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&lt; 1 serve</c:v>
                </c:pt>
                <c:pt idx="1">
                  <c:v>1-1.9 serves</c:v>
                </c:pt>
                <c:pt idx="2">
                  <c:v>2-2.9 serves</c:v>
                </c:pt>
                <c:pt idx="3">
                  <c:v>3-3.9 serves</c:v>
                </c:pt>
                <c:pt idx="4">
                  <c:v>4-4.9 serves</c:v>
                </c:pt>
                <c:pt idx="5">
                  <c:v>5+ serves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2.9072653000000002</c:v>
                </c:pt>
                <c:pt idx="1">
                  <c:v>11.817639</c:v>
                </c:pt>
                <c:pt idx="2">
                  <c:v>43.328108999999998</c:v>
                </c:pt>
                <c:pt idx="3">
                  <c:v>7.1816087</c:v>
                </c:pt>
                <c:pt idx="4">
                  <c:v>27.108536000000001</c:v>
                </c:pt>
                <c:pt idx="5">
                  <c:v>7.6568421000000004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882136"/>
        <c:axId val="256882528"/>
      </c:barChart>
      <c:catAx>
        <c:axId val="256882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one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56882528"/>
        <c:crosses val="autoZero"/>
        <c:auto val="1"/>
        <c:lblAlgn val="ctr"/>
        <c:lblOffset val="100"/>
        <c:noMultiLvlLbl val="0"/>
      </c:catAx>
      <c:valAx>
        <c:axId val="256882528"/>
        <c:scaling>
          <c:orientation val="minMax"/>
          <c:max val="70"/>
        </c:scaling>
        <c:delete val="1"/>
        <c:axPos val="l"/>
        <c:numFmt formatCode="General" sourceLinked="1"/>
        <c:majorTickMark val="out"/>
        <c:minorTickMark val="none"/>
        <c:tickLblPos val="nextTo"/>
        <c:crossAx val="256882136"/>
        <c:crosses val="autoZero"/>
        <c:crossBetween val="between"/>
      </c:valAx>
    </c:plotArea>
    <c:legend>
      <c:legendPos val="t"/>
      <c:legendEntry>
        <c:idx val="0"/>
        <c:delete val="1"/>
      </c:legendEntry>
      <c:layout>
        <c:manualLayout>
          <c:xMode val="edge"/>
          <c:yMode val="edge"/>
          <c:x val="0"/>
          <c:y val="5.2182259421770752E-2"/>
          <c:w val="0.2744673087652586"/>
          <c:h val="8.6355722104908023E-2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615508860209043"/>
          <c:y val="2.424405848204203E-2"/>
          <c:w val="0.80352076796421135"/>
          <c:h val="0.895544619422572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Men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&lt; 1 </c:v>
                </c:pt>
                <c:pt idx="1">
                  <c:v>1-1.9 </c:v>
                </c:pt>
                <c:pt idx="2">
                  <c:v>2-2.9</c:v>
                </c:pt>
                <c:pt idx="3">
                  <c:v>3-3.9 </c:v>
                </c:pt>
                <c:pt idx="4">
                  <c:v>4-4.9 </c:v>
                </c:pt>
                <c:pt idx="5">
                  <c:v>5+ 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65.397487999999996</c:v>
                </c:pt>
                <c:pt idx="1">
                  <c:v>17.531901000000001</c:v>
                </c:pt>
                <c:pt idx="2">
                  <c:v>9.6100727999999993</c:v>
                </c:pt>
                <c:pt idx="3">
                  <c:v>4.2406622</c:v>
                </c:pt>
                <c:pt idx="4">
                  <c:v>2.5178067999999998</c:v>
                </c:pt>
                <c:pt idx="5">
                  <c:v>0.70207006999999999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Women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&lt; 1 </c:v>
                </c:pt>
                <c:pt idx="1">
                  <c:v>1-1.9 </c:v>
                </c:pt>
                <c:pt idx="2">
                  <c:v>2-2.9</c:v>
                </c:pt>
                <c:pt idx="3">
                  <c:v>3-3.9 </c:v>
                </c:pt>
                <c:pt idx="4">
                  <c:v>4-4.9 </c:v>
                </c:pt>
                <c:pt idx="5">
                  <c:v>5+ 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56.096111999999998</c:v>
                </c:pt>
                <c:pt idx="1">
                  <c:v>20.943327</c:v>
                </c:pt>
                <c:pt idx="2">
                  <c:v>15.749425</c:v>
                </c:pt>
                <c:pt idx="3">
                  <c:v>4.742731</c:v>
                </c:pt>
                <c:pt idx="4">
                  <c:v>1.8389774999999999</c:v>
                </c:pt>
                <c:pt idx="5">
                  <c:v>0.62942728000000003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883312"/>
        <c:axId val="256883704"/>
      </c:barChart>
      <c:catAx>
        <c:axId val="256883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56883704"/>
        <c:crosses val="autoZero"/>
        <c:auto val="1"/>
        <c:lblAlgn val="ctr"/>
        <c:lblOffset val="100"/>
        <c:noMultiLvlLbl val="0"/>
      </c:catAx>
      <c:valAx>
        <c:axId val="2568837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A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Estimated</a:t>
                </a:r>
                <a:r>
                  <a:rPr lang="en-AU" sz="11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percentage of population</a:t>
                </a:r>
                <a:endParaRPr lang="en-AU" sz="11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6451536943397972E-2"/>
              <c:y val="0.1051234066593693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5688331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239797085023467E-2"/>
          <c:y val="2.424405848204203E-2"/>
          <c:w val="0.89319214247033507"/>
          <c:h val="0.895544619422572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Men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&lt; 1 </c:v>
                </c:pt>
                <c:pt idx="1">
                  <c:v>1-1.9 </c:v>
                </c:pt>
                <c:pt idx="2">
                  <c:v>2-2.9</c:v>
                </c:pt>
                <c:pt idx="3">
                  <c:v>3-3.9</c:v>
                </c:pt>
                <c:pt idx="4">
                  <c:v>4-4.9 </c:v>
                </c:pt>
                <c:pt idx="5">
                  <c:v>5+ 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23.749383999999999</c:v>
                </c:pt>
                <c:pt idx="1">
                  <c:v>20.084731999999999</c:v>
                </c:pt>
                <c:pt idx="2">
                  <c:v>28.610759999999999</c:v>
                </c:pt>
                <c:pt idx="3">
                  <c:v>12.286376000000001</c:v>
                </c:pt>
                <c:pt idx="4">
                  <c:v>10.108283</c:v>
                </c:pt>
                <c:pt idx="5">
                  <c:v>5.1604649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Women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&lt; 1 </c:v>
                </c:pt>
                <c:pt idx="1">
                  <c:v>1-1.9 </c:v>
                </c:pt>
                <c:pt idx="2">
                  <c:v>2-2.9</c:v>
                </c:pt>
                <c:pt idx="3">
                  <c:v>3-3.9</c:v>
                </c:pt>
                <c:pt idx="4">
                  <c:v>4-4.9 </c:v>
                </c:pt>
                <c:pt idx="5">
                  <c:v>5+ 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19.159082000000001</c:v>
                </c:pt>
                <c:pt idx="1">
                  <c:v>19.988011</c:v>
                </c:pt>
                <c:pt idx="2">
                  <c:v>35.789724999999997</c:v>
                </c:pt>
                <c:pt idx="3">
                  <c:v>11.61656</c:v>
                </c:pt>
                <c:pt idx="4">
                  <c:v>11.189890999999999</c:v>
                </c:pt>
                <c:pt idx="5">
                  <c:v>2.2567311000000001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022848"/>
        <c:axId val="318023240"/>
      </c:barChart>
      <c:catAx>
        <c:axId val="318022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18023240"/>
        <c:crosses val="autoZero"/>
        <c:auto val="1"/>
        <c:lblAlgn val="ctr"/>
        <c:lblOffset val="100"/>
        <c:noMultiLvlLbl val="0"/>
      </c:catAx>
      <c:valAx>
        <c:axId val="318023240"/>
        <c:scaling>
          <c:orientation val="minMax"/>
          <c:max val="70"/>
        </c:scaling>
        <c:delete val="1"/>
        <c:axPos val="l"/>
        <c:numFmt formatCode="General" sourceLinked="1"/>
        <c:majorTickMark val="out"/>
        <c:minorTickMark val="none"/>
        <c:tickLblPos val="nextTo"/>
        <c:crossAx val="31802284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University of Tasmania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Bui</dc:creator>
  <cp:keywords/>
  <dc:description/>
  <cp:lastModifiedBy>Tan Bui</cp:lastModifiedBy>
  <cp:revision>2</cp:revision>
  <dcterms:created xsi:type="dcterms:W3CDTF">2015-05-21T00:13:00Z</dcterms:created>
  <dcterms:modified xsi:type="dcterms:W3CDTF">2015-05-21T00:18:00Z</dcterms:modified>
</cp:coreProperties>
</file>