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32" w:rsidRPr="00E95BF9" w:rsidRDefault="00A02C32" w:rsidP="00A02C32">
      <w:pPr>
        <w:spacing w:after="0" w:line="240" w:lineRule="auto"/>
        <w:rPr>
          <w:rFonts w:ascii="Arial" w:hAnsi="Arial" w:cs="Arial"/>
          <w:b/>
          <w:bCs/>
          <w:noProof/>
          <w:sz w:val="24"/>
          <w:szCs w:val="24"/>
        </w:rPr>
      </w:pPr>
      <w:r w:rsidRPr="00041994">
        <w:rPr>
          <w:rFonts w:ascii="Times New Roman" w:hAnsi="Times New Roman" w:cs="Times New Roman"/>
          <w:bCs/>
          <w:sz w:val="24"/>
          <w:szCs w:val="24"/>
        </w:rPr>
        <w:fldChar w:fldCharType="begin"/>
      </w:r>
      <w:r w:rsidRPr="00041994">
        <w:rPr>
          <w:rFonts w:ascii="Times New Roman" w:hAnsi="Times New Roman" w:cs="Times New Roman"/>
          <w:bCs/>
          <w:sz w:val="24"/>
          <w:szCs w:val="24"/>
        </w:rPr>
        <w:instrText xml:space="preserve"> ADDIN EN.REFLIST </w:instrText>
      </w:r>
      <w:r w:rsidRPr="00041994">
        <w:rPr>
          <w:rFonts w:ascii="Times New Roman" w:hAnsi="Times New Roman" w:cs="Times New Roman"/>
          <w:bCs/>
          <w:sz w:val="24"/>
          <w:szCs w:val="24"/>
        </w:rPr>
        <w:fldChar w:fldCharType="separate"/>
      </w:r>
      <w:r w:rsidRPr="00E95BF9">
        <w:rPr>
          <w:rFonts w:ascii="Arial" w:hAnsi="Arial" w:cs="Arial"/>
          <w:b/>
          <w:bCs/>
          <w:noProof/>
          <w:sz w:val="24"/>
          <w:szCs w:val="24"/>
        </w:rPr>
        <w:t xml:space="preserve">Supplemental Table 1: Comparison of items included in the </w:t>
      </w:r>
      <w:r>
        <w:rPr>
          <w:rFonts w:ascii="Arial" w:hAnsi="Arial" w:cs="Arial"/>
          <w:b/>
          <w:bCs/>
          <w:noProof/>
          <w:sz w:val="24"/>
          <w:szCs w:val="24"/>
        </w:rPr>
        <w:t xml:space="preserve">online </w:t>
      </w:r>
      <w:r w:rsidRPr="00E95BF9">
        <w:rPr>
          <w:rFonts w:ascii="Arial" w:hAnsi="Arial" w:cs="Arial"/>
          <w:b/>
          <w:bCs/>
          <w:noProof/>
          <w:sz w:val="24"/>
          <w:szCs w:val="24"/>
        </w:rPr>
        <w:t>CSIROFFQ and the CCVFFQ.</w:t>
      </w:r>
    </w:p>
    <w:p w:rsidR="00A02C32" w:rsidRDefault="00A02C32" w:rsidP="00A02C32">
      <w:pPr>
        <w:spacing w:after="0" w:line="240" w:lineRule="auto"/>
        <w:ind w:left="-709"/>
        <w:rPr>
          <w:rFonts w:ascii="Times New Roman" w:hAnsi="Times New Roman" w:cs="Times New Roman"/>
          <w:bCs/>
          <w:sz w:val="24"/>
          <w:szCs w:val="24"/>
        </w:rPr>
      </w:pPr>
      <w:r w:rsidRPr="00041994">
        <w:rPr>
          <w:rFonts w:ascii="Times New Roman" w:hAnsi="Times New Roman" w:cs="Times New Roman"/>
          <w:bCs/>
          <w:sz w:val="24"/>
          <w:szCs w:val="24"/>
        </w:rPr>
        <w:fldChar w:fldCharType="end"/>
      </w:r>
    </w:p>
    <w:tbl>
      <w:tblPr>
        <w:tblW w:w="83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8"/>
        <w:gridCol w:w="4111"/>
      </w:tblGrid>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auto"/>
            <w:noWrap/>
            <w:vAlign w:val="bottom"/>
          </w:tcPr>
          <w:p w:rsidR="00A02C32" w:rsidRPr="005B3115" w:rsidRDefault="00A02C32" w:rsidP="00647552">
            <w:pPr>
              <w:spacing w:after="0" w:line="240" w:lineRule="auto"/>
              <w:rPr>
                <w:rFonts w:eastAsia="Times New Roman" w:cs="Times New Roman"/>
                <w:b/>
                <w:bCs/>
                <w:color w:val="000000"/>
              </w:rPr>
            </w:pPr>
            <w:r w:rsidRPr="005B3115">
              <w:rPr>
                <w:rFonts w:eastAsia="Times New Roman" w:cs="Times New Roman"/>
                <w:b/>
                <w:bCs/>
                <w:color w:val="000000"/>
              </w:rPr>
              <w:t>Items included in the online CSIROFFQ</w:t>
            </w:r>
          </w:p>
        </w:tc>
        <w:tc>
          <w:tcPr>
            <w:tcW w:w="4111" w:type="dxa"/>
            <w:tcBorders>
              <w:top w:val="single" w:sz="4" w:space="0" w:color="auto"/>
              <w:left w:val="single" w:sz="4" w:space="0" w:color="auto"/>
              <w:bottom w:val="single" w:sz="4" w:space="0" w:color="auto"/>
            </w:tcBorders>
            <w:shd w:val="clear" w:color="auto" w:fill="auto"/>
            <w:noWrap/>
            <w:vAlign w:val="bottom"/>
          </w:tcPr>
          <w:p w:rsidR="00A02C32" w:rsidRPr="005B3115" w:rsidRDefault="00A02C32" w:rsidP="00647552">
            <w:pPr>
              <w:spacing w:after="0" w:line="240" w:lineRule="auto"/>
              <w:ind w:right="1168"/>
              <w:rPr>
                <w:rFonts w:eastAsia="Times New Roman" w:cs="Times New Roman"/>
                <w:b/>
                <w:bCs/>
                <w:color w:val="000000"/>
              </w:rPr>
            </w:pPr>
            <w:r w:rsidRPr="005B3115">
              <w:rPr>
                <w:rFonts w:eastAsia="Times New Roman" w:cs="Times New Roman"/>
                <w:b/>
                <w:bCs/>
                <w:color w:val="000000"/>
              </w:rPr>
              <w:t>Items included in the CCVFFQ</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Cereals</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ind w:right="2512"/>
              <w:rPr>
                <w:rFonts w:eastAsia="Times New Roman" w:cs="Times New Roman"/>
                <w:b/>
                <w:bCs/>
                <w:color w:val="000000"/>
                <w:sz w:val="20"/>
                <w:szCs w:val="20"/>
              </w:rPr>
            </w:pPr>
            <w:r w:rsidRPr="005B3115">
              <w:rPr>
                <w:rFonts w:eastAsia="Times New Roman" w:cs="Times New Roman"/>
                <w:b/>
                <w:bCs/>
                <w:color w:val="000000"/>
                <w:sz w:val="20"/>
                <w:szCs w:val="20"/>
              </w:rPr>
              <w:t>Cereals</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Plain Bran</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xml:space="preserve">Rice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Bread Rolls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Pasta Or Noodles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Wheat germ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Crackers, Crisp breads Or Dry Biscuits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Linseed, sunflower seed and almond Mixture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Potatoes Cooked Without Fat</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Boiled Rice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Potatoes, Roasted Or Fried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Rice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High Fibre White Bread</w:t>
            </w:r>
          </w:p>
        </w:tc>
      </w:tr>
      <w:tr w:rsidR="00A02C32" w:rsidRPr="005B3115" w:rsidTr="00647552">
        <w:trPr>
          <w:trHeight w:val="343"/>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Risotto</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White Bread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Packet Pasta And Sauce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Wholemeal Bread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Instant Noodles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Rye Bread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Plain Pasta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Multi-Grain Bread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Filled Pasta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All bran</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Asian Noodles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Sultana Bran, Fibreplus Or Branflakes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Flat Breads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Weetbix, Vita Brits Or Weeties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Crumpets Or English Muffins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Cornflakes, Nutrigrain, Special 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Croissants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Porridge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 Loaf / Currant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Muesli</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Crisp bread / Rice Cake / Cracker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 Mashed With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 Boiled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 Roasted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Oven Baked Hot Chips, Prepared At Home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White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Wholemeal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Wholegrain/Mixed Grain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Rye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Gluten Free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White High Fibre Bread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Porridge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Oatmeal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Muesli</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Breakfast Cereals</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Snacks And Sweets</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Snacks And Sweets</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Salted Biscuits</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Sweet Biscuits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Plain Sweet Biscuits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Cakes, Sweet Pies, Tarts And Other Sweet Pastries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Fancy Sweet Biscuits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Corn Chips, Potato Crisps, Twisties Etc.</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Muesli Bar / Health Bar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Nuts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Cake / Sweet Muffin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Sugar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 Pie Or Pastry Or Fritters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Cereal-Based Sweet Desserts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Sweet Bun / Doughnut</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Crisps / Twisties / Corn Chips Etc.</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lastRenderedPageBreak/>
              <w:t>Chocolate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Chocolate Covered Bar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Lollies, Toffees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Peanuts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Nuts, Salted And Cooked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Unsalted Nuts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Popcorn</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Other</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Other</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Egg</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Eggs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Boiled / Poached Egg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Jam, Marmalade Or Honey</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Omelette / Scrambled Eggs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Vegemite, Marmite Or Promite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Ice Block / Icy Pole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Peanut Butter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Thick Sauces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Marinades And Other Thick Sauces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Honey, Jam, Marmalade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Vegemite, Marmite Etc.</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Peanut Paste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Coleslaw</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Salad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Gravy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Mayonnaise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Salad Dressing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Homemade Soup</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Packet Soup</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Canned Soup</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Drinks - Non-Alcohol</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Drinks - Non-Alcohol</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Tea</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Coffee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Herbal Tea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Low-Calorie Cordial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Regular Cordial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Diet Fizzy Drink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Regular Fizzy Drink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 Drink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Pure Fruit Juice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Vegetable Juice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Water / Spring Water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Unflavoured Mineral Water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Sustagen</w:t>
            </w:r>
            <w:r>
              <w:rPr>
                <w:rFonts w:eastAsia="Times New Roman" w:cs="Times New Roman"/>
                <w:color w:val="000000"/>
                <w:sz w:val="16"/>
                <w:szCs w:val="16"/>
              </w:rPr>
              <w:t xml:space="preserve"> </w:t>
            </w:r>
            <w:r w:rsidRPr="005B3115">
              <w:rPr>
                <w:rFonts w:eastAsia="Times New Roman" w:cs="Times New Roman"/>
                <w:color w:val="000000"/>
                <w:sz w:val="16"/>
                <w:szCs w:val="16"/>
              </w:rPr>
              <w:t>/</w:t>
            </w:r>
            <w:r>
              <w:rPr>
                <w:rFonts w:eastAsia="Times New Roman" w:cs="Times New Roman"/>
                <w:color w:val="000000"/>
                <w:sz w:val="16"/>
                <w:szCs w:val="16"/>
              </w:rPr>
              <w:t xml:space="preserve"> </w:t>
            </w:r>
            <w:r w:rsidRPr="005B3115">
              <w:rPr>
                <w:rFonts w:eastAsia="Times New Roman" w:cs="Times New Roman"/>
                <w:color w:val="000000"/>
                <w:sz w:val="16"/>
                <w:szCs w:val="16"/>
              </w:rPr>
              <w:t>Akta Vite</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Dairy</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Dairy</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Soft Cheese</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Hard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Cottage Cheese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Firm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Ricotta Cheese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Soft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Dairy Style Dessert</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Ricotta Or Cottage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Cream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Cream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Yoghurt</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Low Fat Cheese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lastRenderedPageBreak/>
              <w:t>Ice-Cream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Ice-cream</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Custard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Yoghurt</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Flavoured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Chocolate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Milkshake</w:t>
            </w:r>
            <w:r>
              <w:rPr>
                <w:rFonts w:eastAsia="Times New Roman" w:cs="Times New Roman"/>
                <w:color w:val="000000"/>
                <w:sz w:val="16"/>
                <w:szCs w:val="16"/>
              </w:rPr>
              <w:t xml:space="preserve"> </w:t>
            </w:r>
            <w:r w:rsidRPr="005B3115">
              <w:rPr>
                <w:rFonts w:eastAsia="Times New Roman" w:cs="Times New Roman"/>
                <w:color w:val="000000"/>
                <w:sz w:val="16"/>
                <w:szCs w:val="16"/>
              </w:rPr>
              <w:t>/</w:t>
            </w:r>
            <w:r>
              <w:rPr>
                <w:rFonts w:eastAsia="Times New Roman" w:cs="Times New Roman"/>
                <w:color w:val="000000"/>
                <w:sz w:val="16"/>
                <w:szCs w:val="16"/>
              </w:rPr>
              <w:t xml:space="preserve"> </w:t>
            </w:r>
            <w:r w:rsidRPr="005B3115">
              <w:rPr>
                <w:rFonts w:eastAsia="Times New Roman" w:cs="Times New Roman"/>
                <w:color w:val="000000"/>
                <w:sz w:val="16"/>
                <w:szCs w:val="16"/>
              </w:rPr>
              <w:t>Thick shake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Flavoured Milk Drink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Glass Of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Full Cream Milk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Whole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Reduced Fat Milk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Reduced Fat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Skim Milk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Skim</w:t>
            </w:r>
            <w:r>
              <w:rPr>
                <w:rFonts w:eastAsia="Times New Roman" w:cs="Times New Roman"/>
                <w:color w:val="000000"/>
                <w:sz w:val="16"/>
                <w:szCs w:val="16"/>
              </w:rPr>
              <w:t xml:space="preserve"> </w:t>
            </w:r>
            <w:r w:rsidRPr="005B3115">
              <w:rPr>
                <w:rFonts w:eastAsia="Times New Roman" w:cs="Times New Roman"/>
                <w:color w:val="000000"/>
                <w:sz w:val="16"/>
                <w:szCs w:val="16"/>
              </w:rPr>
              <w:t>/</w:t>
            </w:r>
            <w:r>
              <w:rPr>
                <w:rFonts w:eastAsia="Times New Roman" w:cs="Times New Roman"/>
                <w:color w:val="000000"/>
                <w:sz w:val="16"/>
                <w:szCs w:val="16"/>
              </w:rPr>
              <w:t xml:space="preserve"> </w:t>
            </w:r>
            <w:r w:rsidRPr="005B3115">
              <w:rPr>
                <w:rFonts w:eastAsia="Times New Roman" w:cs="Times New Roman"/>
                <w:color w:val="000000"/>
                <w:sz w:val="16"/>
                <w:szCs w:val="16"/>
              </w:rPr>
              <w:t>Non-Fat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Soya Milk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Full Fat Soy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Margarine Of Any Kind</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Low Fat Soy Milk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Polyunsaturated Margarine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Polyunsaturated Margarine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Monounsaturated Margarine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Monounsaturated Or Olive Oil Margarine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Butter And Margarine Blends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Cholesterol Lowering Margarine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Butter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Table Or Cooking Margarine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Liquid Oil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Dairy-Substitute Spread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Butter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Dairy Blend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Dripping Or Lard</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Meat, Fish And Mixed Savoury Dishes</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Meat, Fish And Mixed Savoury Dishes</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Pork Chop</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Pork</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Lamb Chop</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Lamb</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Roast Pork / Pork Fillet</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Beef</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Roast Beef / Veal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Veal</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Roast Lamb</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Sausages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Crumbed Veal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Bacon</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Sausages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Ham</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Rissole / Meat Patty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Corned Beef, Luncheon Meat Or Salami</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Frankfurters / Saveloys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Bacon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Grilled Fish</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Ham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Fish</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Luncheon Meat/Devon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Tinned Fish</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Steak</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Pizza</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Continental Sausage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Meat Pies, Pasties, Quiche And Other Savoury Pastries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Stew / Casserole / Curry / Goulash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Hamburger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Vegetarian Curry / Stew / Casserole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Asian Stir-Fry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Vegetarian Stir-Fry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Mornay Dishes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Mince Meat Dish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Mince Meat As A Sauce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 Breast, Thighs Or Wings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Roast / Barbeque Chicken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 Cooked In Simmer Sauce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Crumbed Chicken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Canned Tuna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lastRenderedPageBreak/>
              <w:t>Canned Salmon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Canned Fish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Fish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Oven Baked Fish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Steamed, Grilled Or Boiled Fish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Fish Fingers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Seafood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Pizza - Home cooked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Meat Pie - Home cooked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Savoury Pies / Pastries - Home cooked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Pate / Liver Paste</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Takeaway Foods</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Takeaway Foods</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 Or Fish Burger</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b/>
                <w:bCs/>
                <w:color w:val="000000"/>
                <w:sz w:val="16"/>
                <w:szCs w:val="16"/>
              </w:rPr>
            </w:pPr>
            <w:r w:rsidRPr="005B3115">
              <w:rPr>
                <w:rFonts w:eastAsia="Times New Roman" w:cs="Times New Roman"/>
                <w:b/>
                <w:bCs/>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Hamburgers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b/>
                <w:bCs/>
                <w:color w:val="000000"/>
                <w:sz w:val="16"/>
                <w:szCs w:val="16"/>
              </w:rPr>
            </w:pPr>
            <w:r w:rsidRPr="005B3115">
              <w:rPr>
                <w:rFonts w:eastAsia="Times New Roman" w:cs="Times New Roman"/>
                <w:b/>
                <w:bCs/>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Souvlaki</w:t>
            </w:r>
            <w:r>
              <w:rPr>
                <w:rFonts w:eastAsia="Times New Roman" w:cs="Times New Roman"/>
                <w:color w:val="000000"/>
                <w:sz w:val="16"/>
                <w:szCs w:val="16"/>
              </w:rPr>
              <w:t xml:space="preserve"> </w:t>
            </w:r>
            <w:r w:rsidRPr="005B3115">
              <w:rPr>
                <w:rFonts w:eastAsia="Times New Roman" w:cs="Times New Roman"/>
                <w:color w:val="000000"/>
                <w:sz w:val="16"/>
                <w:szCs w:val="16"/>
              </w:rPr>
              <w:t>/</w:t>
            </w:r>
            <w:r>
              <w:rPr>
                <w:rFonts w:eastAsia="Times New Roman" w:cs="Times New Roman"/>
                <w:color w:val="000000"/>
                <w:sz w:val="16"/>
                <w:szCs w:val="16"/>
              </w:rPr>
              <w:t xml:space="preserve"> </w:t>
            </w:r>
            <w:r w:rsidRPr="005B3115">
              <w:rPr>
                <w:rFonts w:eastAsia="Times New Roman" w:cs="Times New Roman"/>
                <w:color w:val="000000"/>
                <w:sz w:val="16"/>
                <w:szCs w:val="16"/>
              </w:rPr>
              <w:t>Gyros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b/>
                <w:bCs/>
                <w:color w:val="000000"/>
                <w:sz w:val="16"/>
                <w:szCs w:val="16"/>
              </w:rPr>
            </w:pPr>
            <w:r w:rsidRPr="005B3115">
              <w:rPr>
                <w:rFonts w:eastAsia="Times New Roman" w:cs="Times New Roman"/>
                <w:b/>
                <w:bCs/>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Pizza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Wraps / Subs With Chicken Or Fish As The Main Filling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Wraps / Subs With Beef, Lamb Or Pork As The Main Filling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Wraps / Subs With Sandwich Meat As The Main Filling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Subs / Wraps With Seafood As The Main Filling</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 Nuggets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Deep Fried Chicken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Deep Fried Battered Fish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Deep Fried Seafood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Cakes / Fritters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Spring / Chiko Roll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Dim Sim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Steamed Dim Sim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Meat / Chicken Pie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Pastie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Sausage Roll</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Seafood Sushi Rolls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Meat Sushi Rolls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Chicken Sushi Rolls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Vegetarian Sushi Rolls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Hot Chips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Garlic Bread</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Fruit, Vegetables And Legumes</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Fruit, Vegetables And Legumes</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Carrots - Canned</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Tinned Or Frozen Fruit</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Green Beans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 Juice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Green Peas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Oranges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Baked Beans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Apples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Beans - Dried Or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Pears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Lentils - Dried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Bananas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Sweetcorn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Melons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lastRenderedPageBreak/>
              <w:t>Beetroot - Canned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Pineapple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Olives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Strawberry</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Gherkins / Pickled Onions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Apricots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Pickled Vegetables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Peaches Or Nectarines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Onion - Fried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Mango Or Paw Paw</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Onion - Raw / Baked / Boiled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Avocado</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Tomato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Tomato Sauce, Tomato Paste Or Dried Tomatoes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Tomato - Fried / Grilled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Fresh Or Tinned Tomatoes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Mushrooms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Peppers Or Capsicum</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Mushrooms - Fried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Lettuce, Endive Or Other Salad Greens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Carrots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Cucumber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Turnip, Swede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Celery</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Green Beans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Beetroot</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Green Peas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Carrots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Zucchini</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Cabbage Or Brussel Sprouts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Cabbage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Cauliflower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Brussels Sprouts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Broccoli</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Silver beet Or Spinach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Spinach Or Silver beet</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Broccoli</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Cauliflower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Green Bean</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Pumpkin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Bean Sprouts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Sweetcorn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Baked Beans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Lettuce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Soy Beans, Soy Bean Curd Or Tofu</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Cucumber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Beans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Celery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Pumpkin</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Bean Sprouts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Onion Or Leeks</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Capsicum</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Fresh Garlic</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Fried Mixed Vegetables (E.g. Stir Fry)</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Mushroom</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Coleslaw</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Zucchini</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Potato Salad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Orange, Mandarin, Grapefruit</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Apple, Pear - Fresh / Baked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Banana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Berries - Fresh / Frozen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Pineapple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Avocado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Fresh Fruit Salad</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Melon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Watermelon</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Peach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Plum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Nectarine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Apricot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Figs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Grapes - Fresh</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Fruits Canned In Syrup</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lastRenderedPageBreak/>
              <w:t>Fruits Canned In Juice</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Fruits Canned In Water (Low-Cal) Or Stewed With No Sugar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Raisins, Sultanas Or Currants</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Other Dried Fruit</w:t>
            </w:r>
          </w:p>
        </w:tc>
        <w:tc>
          <w:tcPr>
            <w:tcW w:w="4111" w:type="dxa"/>
            <w:tcBorders>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Alcohol</w:t>
            </w:r>
          </w:p>
        </w:tc>
        <w:tc>
          <w:tcPr>
            <w:tcW w:w="4111" w:type="dxa"/>
            <w:tcBorders>
              <w:top w:val="single" w:sz="4" w:space="0" w:color="auto"/>
              <w:left w:val="single" w:sz="4" w:space="0" w:color="auto"/>
              <w:bottom w:val="single" w:sz="4" w:space="0" w:color="auto"/>
            </w:tcBorders>
            <w:shd w:val="clear" w:color="auto" w:fill="BFBFBF" w:themeFill="background1" w:themeFillShade="BF"/>
            <w:noWrap/>
            <w:vAlign w:val="bottom"/>
            <w:hideMark/>
          </w:tcPr>
          <w:p w:rsidR="00A02C32" w:rsidRPr="005B3115" w:rsidRDefault="00A02C32" w:rsidP="00647552">
            <w:pPr>
              <w:spacing w:after="0" w:line="240" w:lineRule="auto"/>
              <w:rPr>
                <w:rFonts w:eastAsia="Times New Roman" w:cs="Times New Roman"/>
                <w:b/>
                <w:bCs/>
                <w:color w:val="000000"/>
                <w:sz w:val="20"/>
                <w:szCs w:val="20"/>
              </w:rPr>
            </w:pPr>
            <w:r w:rsidRPr="005B3115">
              <w:rPr>
                <w:rFonts w:eastAsia="Times New Roman" w:cs="Times New Roman"/>
                <w:b/>
                <w:bCs/>
                <w:color w:val="000000"/>
                <w:sz w:val="20"/>
                <w:szCs w:val="20"/>
              </w:rPr>
              <w:t>Alcohol</w:t>
            </w:r>
          </w:p>
        </w:tc>
      </w:tr>
      <w:tr w:rsidR="00A02C32" w:rsidRPr="005B3115" w:rsidTr="00647552">
        <w:trPr>
          <w:trHeight w:val="300"/>
        </w:trPr>
        <w:tc>
          <w:tcPr>
            <w:tcW w:w="4248" w:type="dxa"/>
            <w:tcBorders>
              <w:top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Vodka And Soda</w:t>
            </w:r>
          </w:p>
        </w:tc>
        <w:tc>
          <w:tcPr>
            <w:tcW w:w="4111" w:type="dxa"/>
            <w:tcBorders>
              <w:top w:val="single" w:sz="4" w:space="0" w:color="auto"/>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White Wine Or Sparkling Wine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Rum And Soda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Low Alcohol Beer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Bourbon And Soda</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Full Strength Beer</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Low Alcohol Beer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Red Wine</w:t>
            </w:r>
          </w:p>
        </w:tc>
      </w:tr>
      <w:tr w:rsidR="00A02C32" w:rsidRPr="005B3115" w:rsidTr="00647552">
        <w:trPr>
          <w:trHeight w:val="300"/>
        </w:trPr>
        <w:tc>
          <w:tcPr>
            <w:tcW w:w="4248" w:type="dxa"/>
            <w:tcBorders>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Regular Beer</w:t>
            </w:r>
          </w:p>
        </w:tc>
        <w:tc>
          <w:tcPr>
            <w:tcW w:w="4111" w:type="dxa"/>
            <w:tcBorders>
              <w:lef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Fortified Wines, Port Or Sherry</w:t>
            </w:r>
          </w:p>
        </w:tc>
      </w:tr>
      <w:tr w:rsidR="00A02C32" w:rsidRPr="005B3115" w:rsidTr="00647552">
        <w:trPr>
          <w:trHeight w:val="300"/>
        </w:trPr>
        <w:tc>
          <w:tcPr>
            <w:tcW w:w="4248" w:type="dxa"/>
            <w:tcBorders>
              <w:bottom w:val="nil"/>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Wine Or Champagne</w:t>
            </w:r>
          </w:p>
        </w:tc>
        <w:tc>
          <w:tcPr>
            <w:tcW w:w="4111" w:type="dxa"/>
            <w:tcBorders>
              <w:left w:val="single" w:sz="4" w:space="0" w:color="auto"/>
              <w:bottom w:val="nil"/>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Spirits And Liqueurs</w:t>
            </w:r>
          </w:p>
        </w:tc>
      </w:tr>
      <w:tr w:rsidR="00A02C32" w:rsidRPr="005B3115" w:rsidTr="00647552">
        <w:trPr>
          <w:trHeight w:val="300"/>
        </w:trPr>
        <w:tc>
          <w:tcPr>
            <w:tcW w:w="4248" w:type="dxa"/>
            <w:tcBorders>
              <w:top w:val="nil"/>
              <w:bottom w:val="nil"/>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Liqueurs, Port Or Sherry</w:t>
            </w:r>
          </w:p>
        </w:tc>
        <w:tc>
          <w:tcPr>
            <w:tcW w:w="4111" w:type="dxa"/>
            <w:tcBorders>
              <w:top w:val="nil"/>
              <w:left w:val="single" w:sz="4" w:space="0" w:color="auto"/>
              <w:bottom w:val="nil"/>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r w:rsidR="00A02C32" w:rsidRPr="005B3115" w:rsidTr="00647552">
        <w:trPr>
          <w:trHeight w:val="300"/>
        </w:trPr>
        <w:tc>
          <w:tcPr>
            <w:tcW w:w="4248" w:type="dxa"/>
            <w:tcBorders>
              <w:top w:val="nil"/>
              <w:bottom w:val="single" w:sz="4" w:space="0" w:color="auto"/>
              <w:right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Spirits</w:t>
            </w:r>
          </w:p>
        </w:tc>
        <w:tc>
          <w:tcPr>
            <w:tcW w:w="4111" w:type="dxa"/>
            <w:tcBorders>
              <w:top w:val="nil"/>
              <w:left w:val="single" w:sz="4" w:space="0" w:color="auto"/>
              <w:bottom w:val="single" w:sz="4" w:space="0" w:color="auto"/>
            </w:tcBorders>
            <w:shd w:val="clear" w:color="auto" w:fill="auto"/>
            <w:noWrap/>
            <w:vAlign w:val="bottom"/>
            <w:hideMark/>
          </w:tcPr>
          <w:p w:rsidR="00A02C32" w:rsidRPr="005B3115" w:rsidRDefault="00A02C32" w:rsidP="00647552">
            <w:pPr>
              <w:spacing w:after="0" w:line="240" w:lineRule="auto"/>
              <w:rPr>
                <w:rFonts w:eastAsia="Times New Roman" w:cs="Times New Roman"/>
                <w:color w:val="000000"/>
                <w:sz w:val="16"/>
                <w:szCs w:val="16"/>
              </w:rPr>
            </w:pPr>
            <w:r w:rsidRPr="005B3115">
              <w:rPr>
                <w:rFonts w:eastAsia="Times New Roman" w:cs="Times New Roman"/>
                <w:color w:val="000000"/>
                <w:sz w:val="16"/>
                <w:szCs w:val="16"/>
              </w:rPr>
              <w:t> </w:t>
            </w:r>
          </w:p>
        </w:tc>
      </w:tr>
    </w:tbl>
    <w:p w:rsidR="00A02C32" w:rsidRDefault="00A02C32" w:rsidP="00A02C32">
      <w:pPr>
        <w:spacing w:after="0" w:line="240" w:lineRule="auto"/>
        <w:ind w:right="1111"/>
        <w:jc w:val="both"/>
        <w:rPr>
          <w:rFonts w:ascii="Times New Roman" w:hAnsi="Times New Roman" w:cs="Times New Roman"/>
          <w:bCs/>
          <w:sz w:val="24"/>
          <w:szCs w:val="24"/>
        </w:rPr>
      </w:pPr>
      <w:r w:rsidRPr="0007062F">
        <w:rPr>
          <w:rFonts w:cs="Times New Roman"/>
          <w:sz w:val="16"/>
          <w:szCs w:val="16"/>
        </w:rPr>
        <w:t>Abbreviations; CCVFFQ, Cancer Council of Victoria food frequency questionnaire; CSIROFFQ, Commonwealth Scientific and Industrial Research Organisation food frequency questionnaire</w:t>
      </w:r>
      <w:r>
        <w:rPr>
          <w:rFonts w:cs="Times New Roman"/>
          <w:sz w:val="16"/>
          <w:szCs w:val="16"/>
        </w:rPr>
        <w:t>.</w:t>
      </w:r>
    </w:p>
    <w:p w:rsidR="00647552" w:rsidRDefault="00647552"/>
    <w:p w:rsidR="00647552" w:rsidRDefault="00647552"/>
    <w:p w:rsidR="00647552" w:rsidRDefault="00647552"/>
    <w:p w:rsidR="00647552" w:rsidRDefault="00647552"/>
    <w:p w:rsidR="00647552" w:rsidRDefault="00647552"/>
    <w:p w:rsidR="00647552" w:rsidRDefault="00647552"/>
    <w:p w:rsidR="00647552" w:rsidRDefault="00647552"/>
    <w:p w:rsidR="00647552" w:rsidRDefault="00647552"/>
    <w:p w:rsidR="00647552" w:rsidRDefault="00647552"/>
    <w:p w:rsidR="00647552" w:rsidRDefault="00647552"/>
    <w:p w:rsidR="00647552" w:rsidRDefault="00647552"/>
    <w:p w:rsidR="005F6417" w:rsidRDefault="005F6417"/>
    <w:p w:rsidR="005F6417" w:rsidRDefault="005F6417"/>
    <w:p w:rsidR="005F6417" w:rsidRDefault="005F6417"/>
    <w:p w:rsidR="005F6417" w:rsidRDefault="005F6417"/>
    <w:p w:rsidR="005F6417" w:rsidRDefault="005F6417"/>
    <w:p w:rsidR="005F6417" w:rsidRDefault="005F6417"/>
    <w:p w:rsidR="005F6417" w:rsidRDefault="005F6417"/>
    <w:p w:rsidR="005E353B" w:rsidRDefault="005F6417" w:rsidP="00E8135B">
      <w:pPr>
        <w:spacing w:after="0" w:line="240" w:lineRule="auto"/>
      </w:pPr>
      <w:r w:rsidRPr="00041994">
        <w:rPr>
          <w:rFonts w:ascii="Times New Roman" w:hAnsi="Times New Roman" w:cs="Times New Roman"/>
          <w:bCs/>
          <w:sz w:val="24"/>
          <w:szCs w:val="24"/>
        </w:rPr>
        <w:lastRenderedPageBreak/>
        <w:fldChar w:fldCharType="begin"/>
      </w:r>
      <w:r w:rsidRPr="00041994">
        <w:rPr>
          <w:rFonts w:ascii="Times New Roman" w:hAnsi="Times New Roman" w:cs="Times New Roman"/>
          <w:bCs/>
          <w:sz w:val="24"/>
          <w:szCs w:val="24"/>
        </w:rPr>
        <w:instrText xml:space="preserve"> ADDIN EN.REFLIST </w:instrText>
      </w:r>
      <w:r w:rsidRPr="00041994">
        <w:rPr>
          <w:rFonts w:ascii="Times New Roman" w:hAnsi="Times New Roman" w:cs="Times New Roman"/>
          <w:bCs/>
          <w:sz w:val="24"/>
          <w:szCs w:val="24"/>
        </w:rPr>
        <w:fldChar w:fldCharType="separate"/>
      </w:r>
      <w:r w:rsidRPr="00E95BF9">
        <w:rPr>
          <w:rFonts w:ascii="Arial" w:hAnsi="Arial" w:cs="Arial"/>
          <w:b/>
          <w:bCs/>
          <w:noProof/>
          <w:sz w:val="24"/>
          <w:szCs w:val="24"/>
        </w:rPr>
        <w:t xml:space="preserve">Supplemental Table </w:t>
      </w:r>
      <w:r>
        <w:rPr>
          <w:rFonts w:ascii="Arial" w:hAnsi="Arial" w:cs="Arial"/>
          <w:b/>
          <w:bCs/>
          <w:noProof/>
          <w:sz w:val="24"/>
          <w:szCs w:val="24"/>
        </w:rPr>
        <w:t>2</w:t>
      </w:r>
      <w:r w:rsidRPr="00E95BF9">
        <w:rPr>
          <w:rFonts w:ascii="Arial" w:hAnsi="Arial" w:cs="Arial"/>
          <w:b/>
          <w:bCs/>
          <w:noProof/>
          <w:sz w:val="24"/>
          <w:szCs w:val="24"/>
        </w:rPr>
        <w:t xml:space="preserve">: </w:t>
      </w:r>
      <w:r>
        <w:rPr>
          <w:rFonts w:ascii="Arial" w:hAnsi="Arial" w:cs="Arial"/>
          <w:b/>
          <w:bCs/>
          <w:noProof/>
          <w:sz w:val="24"/>
          <w:szCs w:val="24"/>
        </w:rPr>
        <w:t xml:space="preserve">Statistical methods used in the comparative analysis of the </w:t>
      </w:r>
      <w:r w:rsidR="001227E8">
        <w:rPr>
          <w:rFonts w:ascii="Arial" w:hAnsi="Arial" w:cs="Arial"/>
          <w:b/>
          <w:bCs/>
          <w:noProof/>
          <w:sz w:val="24"/>
          <w:szCs w:val="24"/>
        </w:rPr>
        <w:t xml:space="preserve">paper-based </w:t>
      </w:r>
      <w:r>
        <w:rPr>
          <w:rFonts w:ascii="Arial" w:hAnsi="Arial" w:cs="Arial"/>
          <w:b/>
          <w:bCs/>
          <w:noProof/>
          <w:sz w:val="24"/>
          <w:szCs w:val="24"/>
        </w:rPr>
        <w:t xml:space="preserve">CCVFFQ and the </w:t>
      </w:r>
      <w:r w:rsidR="001227E8">
        <w:rPr>
          <w:rFonts w:ascii="Arial" w:hAnsi="Arial" w:cs="Arial"/>
          <w:b/>
          <w:bCs/>
          <w:noProof/>
          <w:sz w:val="24"/>
          <w:szCs w:val="24"/>
        </w:rPr>
        <w:t xml:space="preserve">online </w:t>
      </w:r>
      <w:r>
        <w:rPr>
          <w:rFonts w:ascii="Arial" w:hAnsi="Arial" w:cs="Arial"/>
          <w:b/>
          <w:bCs/>
          <w:noProof/>
          <w:sz w:val="24"/>
          <w:szCs w:val="24"/>
        </w:rPr>
        <w:t xml:space="preserve">CSIROFFQ, and </w:t>
      </w:r>
      <w:r w:rsidR="00E476EF">
        <w:rPr>
          <w:rFonts w:ascii="Arial" w:hAnsi="Arial" w:cs="Arial"/>
          <w:b/>
          <w:bCs/>
          <w:noProof/>
          <w:sz w:val="24"/>
          <w:szCs w:val="24"/>
        </w:rPr>
        <w:t xml:space="preserve">details of </w:t>
      </w:r>
      <w:r>
        <w:rPr>
          <w:rFonts w:ascii="Arial" w:hAnsi="Arial" w:cs="Arial"/>
          <w:b/>
          <w:bCs/>
          <w:noProof/>
          <w:sz w:val="24"/>
          <w:szCs w:val="24"/>
        </w:rPr>
        <w:t>what each method is assessing.</w:t>
      </w:r>
      <w:r w:rsidRPr="00041994">
        <w:rPr>
          <w:rFonts w:ascii="Times New Roman" w:hAnsi="Times New Roman" w:cs="Times New Roman"/>
          <w:bCs/>
          <w:sz w:val="24"/>
          <w:szCs w:val="24"/>
        </w:rPr>
        <w:fldChar w:fldCharType="end"/>
      </w:r>
    </w:p>
    <w:tbl>
      <w:tblPr>
        <w:tblStyle w:val="TableGrid"/>
        <w:tblpPr w:leftFromText="180" w:rightFromText="180" w:vertAnchor="text" w:tblpY="89"/>
        <w:tblW w:w="0" w:type="auto"/>
        <w:tblBorders>
          <w:insideV w:val="none" w:sz="0" w:space="0" w:color="auto"/>
        </w:tblBorders>
        <w:tblLook w:val="04A0" w:firstRow="1" w:lastRow="0" w:firstColumn="1" w:lastColumn="0" w:noHBand="0" w:noVBand="1"/>
      </w:tblPr>
      <w:tblGrid>
        <w:gridCol w:w="3964"/>
        <w:gridCol w:w="4962"/>
      </w:tblGrid>
      <w:tr w:rsidR="005E353B" w:rsidRPr="00E8135B" w:rsidTr="001227E8">
        <w:tc>
          <w:tcPr>
            <w:tcW w:w="3964" w:type="dxa"/>
            <w:shd w:val="clear" w:color="auto" w:fill="BFBFBF" w:themeFill="background1" w:themeFillShade="BF"/>
          </w:tcPr>
          <w:p w:rsidR="005E353B" w:rsidRPr="00E8135B" w:rsidRDefault="005E353B" w:rsidP="005E353B">
            <w:pPr>
              <w:spacing w:after="0"/>
            </w:pPr>
            <w:r w:rsidRPr="00E8135B">
              <w:t>Statistical Method</w:t>
            </w:r>
          </w:p>
        </w:tc>
        <w:tc>
          <w:tcPr>
            <w:tcW w:w="4962" w:type="dxa"/>
            <w:shd w:val="clear" w:color="auto" w:fill="BFBFBF" w:themeFill="background1" w:themeFillShade="BF"/>
          </w:tcPr>
          <w:p w:rsidR="005E353B" w:rsidRPr="00E8135B" w:rsidRDefault="005E353B" w:rsidP="005E353B">
            <w:pPr>
              <w:spacing w:after="0"/>
            </w:pPr>
            <w:r w:rsidRPr="00E8135B">
              <w:t>What the statistical method is assessing</w:t>
            </w:r>
          </w:p>
        </w:tc>
      </w:tr>
      <w:tr w:rsidR="005E353B" w:rsidRPr="00E8135B" w:rsidTr="001227E8">
        <w:tc>
          <w:tcPr>
            <w:tcW w:w="3964" w:type="dxa"/>
          </w:tcPr>
          <w:p w:rsidR="005E353B" w:rsidRPr="00E8135B" w:rsidRDefault="005E353B" w:rsidP="005E353B">
            <w:pPr>
              <w:spacing w:after="0"/>
            </w:pPr>
            <w:r w:rsidRPr="00E8135B">
              <w:t>Means and standard deviations for the 26 nutrients common to both the</w:t>
            </w:r>
            <w:r w:rsidR="001227E8">
              <w:t xml:space="preserve"> paper-based</w:t>
            </w:r>
            <w:r w:rsidRPr="00E8135B">
              <w:t xml:space="preserve"> CCVFFQ and the</w:t>
            </w:r>
            <w:r w:rsidR="001227E8">
              <w:t xml:space="preserve"> online</w:t>
            </w:r>
            <w:r w:rsidRPr="00E8135B">
              <w:t xml:space="preserve"> CSIROFFQ.</w:t>
            </w:r>
          </w:p>
          <w:p w:rsidR="005E353B" w:rsidRPr="00E8135B" w:rsidRDefault="005E353B" w:rsidP="005E353B">
            <w:pPr>
              <w:spacing w:after="0"/>
            </w:pPr>
            <w:r w:rsidRPr="00E8135B">
              <w:t>Mean percentage agreement between the two FFQs for these 26 nutrients.</w:t>
            </w:r>
          </w:p>
        </w:tc>
        <w:tc>
          <w:tcPr>
            <w:tcW w:w="4962" w:type="dxa"/>
          </w:tcPr>
          <w:p w:rsidR="005E353B" w:rsidRPr="00E8135B" w:rsidRDefault="005E353B" w:rsidP="00235B00">
            <w:pPr>
              <w:spacing w:after="0"/>
            </w:pPr>
            <w:r w:rsidRPr="00E8135B">
              <w:t>Depicts the average intake for nutrients.</w:t>
            </w:r>
          </w:p>
          <w:p w:rsidR="005E353B" w:rsidRPr="00E8135B" w:rsidRDefault="005E353B" w:rsidP="00235B00">
            <w:pPr>
              <w:spacing w:after="0"/>
            </w:pPr>
          </w:p>
          <w:p w:rsidR="005E353B" w:rsidRPr="00E8135B" w:rsidRDefault="005E353B" w:rsidP="00235B00">
            <w:pPr>
              <w:spacing w:after="0"/>
            </w:pPr>
          </w:p>
          <w:p w:rsidR="005E353B" w:rsidRPr="00E8135B" w:rsidRDefault="005E353B" w:rsidP="00235B00">
            <w:pPr>
              <w:spacing w:after="0"/>
            </w:pPr>
            <w:r w:rsidRPr="00E8135B">
              <w:t xml:space="preserve">Mean percentage agreement over 100% denotes </w:t>
            </w:r>
            <w:r w:rsidRPr="00E8135B">
              <w:rPr>
                <w:rFonts w:cs="Times New Roman"/>
              </w:rPr>
              <w:t xml:space="preserve">lower intake values in the </w:t>
            </w:r>
            <w:r w:rsidR="001227E8">
              <w:rPr>
                <w:rFonts w:cs="Times New Roman"/>
              </w:rPr>
              <w:t xml:space="preserve">online </w:t>
            </w:r>
            <w:r w:rsidRPr="00E8135B">
              <w:rPr>
                <w:rFonts w:cs="Times New Roman"/>
              </w:rPr>
              <w:t>CSIROFFQ than the CCVFFQ, and under 100% denotes higher intake values in the</w:t>
            </w:r>
            <w:r w:rsidR="001227E8">
              <w:rPr>
                <w:rFonts w:cs="Times New Roman"/>
              </w:rPr>
              <w:t xml:space="preserve"> online</w:t>
            </w:r>
            <w:r w:rsidRPr="00E8135B">
              <w:rPr>
                <w:rFonts w:cs="Times New Roman"/>
              </w:rPr>
              <w:t xml:space="preserve"> CSIROFFQ than the CCVFFQ: e.g. a mean percentage agreement of 250% indicates intake values 150% lower in the</w:t>
            </w:r>
            <w:r w:rsidR="001227E8">
              <w:rPr>
                <w:rFonts w:cs="Times New Roman"/>
              </w:rPr>
              <w:t xml:space="preserve"> online</w:t>
            </w:r>
            <w:r w:rsidRPr="00E8135B">
              <w:rPr>
                <w:rFonts w:cs="Times New Roman"/>
              </w:rPr>
              <w:t xml:space="preserve"> CSIROFFQ than the CCVFFQ.</w:t>
            </w:r>
          </w:p>
        </w:tc>
      </w:tr>
      <w:tr w:rsidR="005E353B" w:rsidRPr="00E8135B" w:rsidTr="001227E8">
        <w:tc>
          <w:tcPr>
            <w:tcW w:w="3964" w:type="dxa"/>
          </w:tcPr>
          <w:p w:rsidR="005E353B" w:rsidRPr="00E8135B" w:rsidRDefault="005E353B" w:rsidP="005E353B">
            <w:pPr>
              <w:spacing w:after="0"/>
            </w:pPr>
            <w:r w:rsidRPr="00E8135B">
              <w:t>Bivariate Pearson’s correlation coefficients.</w:t>
            </w:r>
          </w:p>
        </w:tc>
        <w:tc>
          <w:tcPr>
            <w:tcW w:w="4962" w:type="dxa"/>
          </w:tcPr>
          <w:p w:rsidR="005E353B" w:rsidRPr="00E8135B" w:rsidRDefault="005E353B" w:rsidP="00235B00">
            <w:pPr>
              <w:spacing w:after="0"/>
            </w:pPr>
            <w:r w:rsidRPr="00E8135B">
              <w:rPr>
                <w:rFonts w:cs="Helvetica"/>
                <w:shd w:val="clear" w:color="auto" w:fill="FFFFFF"/>
              </w:rPr>
              <w:t>Measures the strength and direction of linear relationships between nutrient intakes from the two FFQs.</w:t>
            </w:r>
            <w:r w:rsidRPr="00E8135B">
              <w:rPr>
                <w:rStyle w:val="apple-converted-space"/>
                <w:rFonts w:cs="Helvetica"/>
                <w:shd w:val="clear" w:color="auto" w:fill="FFFFFF"/>
              </w:rPr>
              <w:t> </w:t>
            </w:r>
          </w:p>
        </w:tc>
      </w:tr>
      <w:tr w:rsidR="005E353B" w:rsidRPr="00E8135B" w:rsidTr="001227E8">
        <w:tc>
          <w:tcPr>
            <w:tcW w:w="3964" w:type="dxa"/>
          </w:tcPr>
          <w:p w:rsidR="005E353B" w:rsidRPr="00E8135B" w:rsidRDefault="005E353B" w:rsidP="005E353B">
            <w:pPr>
              <w:spacing w:after="0"/>
            </w:pPr>
            <w:r w:rsidRPr="00E8135B">
              <w:t>Bland Altman Plots.</w:t>
            </w:r>
          </w:p>
          <w:p w:rsidR="005E353B" w:rsidRPr="00E8135B" w:rsidRDefault="005E353B" w:rsidP="005E353B">
            <w:pPr>
              <w:spacing w:after="0"/>
            </w:pPr>
          </w:p>
          <w:p w:rsidR="005E353B" w:rsidRPr="00E8135B" w:rsidRDefault="005E353B" w:rsidP="005E353B">
            <w:pPr>
              <w:spacing w:after="0"/>
            </w:pPr>
          </w:p>
          <w:p w:rsidR="00C07AB4" w:rsidRPr="00E8135B" w:rsidRDefault="00C07AB4" w:rsidP="005E353B">
            <w:pPr>
              <w:spacing w:after="0"/>
            </w:pPr>
          </w:p>
          <w:p w:rsidR="00C07AB4" w:rsidRPr="00E8135B" w:rsidRDefault="00C07AB4" w:rsidP="005E353B">
            <w:pPr>
              <w:spacing w:after="0"/>
            </w:pPr>
          </w:p>
          <w:p w:rsidR="00C07AB4" w:rsidRPr="00E8135B" w:rsidRDefault="00C07AB4" w:rsidP="005E353B">
            <w:pPr>
              <w:spacing w:after="0"/>
            </w:pPr>
          </w:p>
          <w:p w:rsidR="00C07AB4" w:rsidRPr="00E8135B" w:rsidRDefault="00C07AB4" w:rsidP="005E353B">
            <w:pPr>
              <w:spacing w:after="0"/>
            </w:pPr>
          </w:p>
          <w:p w:rsidR="00C07AB4" w:rsidRPr="00E8135B" w:rsidRDefault="00C07AB4" w:rsidP="005E353B">
            <w:pPr>
              <w:spacing w:after="0"/>
            </w:pPr>
          </w:p>
          <w:p w:rsidR="005E353B" w:rsidRPr="00E8135B" w:rsidRDefault="005E353B" w:rsidP="005E353B">
            <w:pPr>
              <w:spacing w:after="0"/>
            </w:pPr>
          </w:p>
          <w:p w:rsidR="005E353B" w:rsidRPr="00E8135B" w:rsidRDefault="005E353B" w:rsidP="005E353B">
            <w:pPr>
              <w:spacing w:after="0"/>
            </w:pPr>
            <w:r w:rsidRPr="00E8135B">
              <w:t>95% limits of agreement (as a percentage).</w:t>
            </w:r>
          </w:p>
        </w:tc>
        <w:tc>
          <w:tcPr>
            <w:tcW w:w="4962" w:type="dxa"/>
          </w:tcPr>
          <w:p w:rsidR="00C07AB4" w:rsidRPr="00E8135B" w:rsidRDefault="005E353B" w:rsidP="00235B00">
            <w:pPr>
              <w:spacing w:after="0"/>
            </w:pPr>
            <w:r w:rsidRPr="00E8135B">
              <w:t xml:space="preserve">Graphical representation of the differences in nutrient intake between the two FFQs. </w:t>
            </w:r>
            <w:r w:rsidR="00C07AB4" w:rsidRPr="00E8135B">
              <w:t xml:space="preserve"> Interpretation of the Bland Altman results are based on three categories, ‘good agreement’, ‘fairly good agreement’ and ‘poor agreement’, depending on whether the difference between the two measurements is approximately equal to one, two or three standard deviations of the average nutrient intake, respectively. </w:t>
            </w:r>
          </w:p>
          <w:p w:rsidR="005E353B" w:rsidRPr="00E8135B" w:rsidRDefault="00C07AB4" w:rsidP="00235B00">
            <w:pPr>
              <w:spacing w:after="0"/>
            </w:pPr>
            <w:r w:rsidRPr="00E8135B">
              <w:rPr>
                <w:rFonts w:cs="Helvetica"/>
                <w:shd w:val="clear" w:color="auto" w:fill="FFFFFF"/>
              </w:rPr>
              <w:t>An estimate of the interval within which 95% of the differences between the two FFQ nutrient intakes lie. This interval is two standard deviations of the FFQ differences either side of the mean FFQ difference</w:t>
            </w:r>
            <w:r w:rsidRPr="00E8135B">
              <w:t>.</w:t>
            </w:r>
          </w:p>
        </w:tc>
      </w:tr>
      <w:tr w:rsidR="005E353B" w:rsidRPr="00E8135B" w:rsidTr="001227E8">
        <w:tc>
          <w:tcPr>
            <w:tcW w:w="3964" w:type="dxa"/>
          </w:tcPr>
          <w:p w:rsidR="005E353B" w:rsidRPr="00CE2BEF" w:rsidRDefault="005E353B" w:rsidP="005E353B">
            <w:pPr>
              <w:spacing w:after="0"/>
            </w:pPr>
            <w:r w:rsidRPr="00CE2BEF">
              <w:t>Least products regression analysis to provide regression estimates of the intercept and slope.</w:t>
            </w:r>
          </w:p>
        </w:tc>
        <w:tc>
          <w:tcPr>
            <w:tcW w:w="4962" w:type="dxa"/>
          </w:tcPr>
          <w:p w:rsidR="005E353B" w:rsidRPr="00CE2BEF" w:rsidRDefault="00CE2BEF" w:rsidP="00235B00">
            <w:pPr>
              <w:spacing w:after="0"/>
            </w:pPr>
            <w:r w:rsidRPr="00CE2BEF">
              <w:t xml:space="preserve">Fixed bias occurs when </w:t>
            </w:r>
            <w:r w:rsidRPr="00CE2BEF">
              <w:rPr>
                <w:rFonts w:cs="Times New Roman"/>
              </w:rPr>
              <w:t>one FFQ gives values that are higher or lower than the second FFQ by a constant amount</w:t>
            </w:r>
            <w:r w:rsidRPr="00CE2BEF">
              <w:rPr>
                <w:rFonts w:cs="Times New Roman"/>
              </w:rPr>
              <w:t>.</w:t>
            </w:r>
            <w:r>
              <w:rPr>
                <w:rFonts w:cs="Times New Roman"/>
              </w:rPr>
              <w:t xml:space="preserve"> </w:t>
            </w:r>
            <w:r w:rsidR="005E353B" w:rsidRPr="00CE2BEF">
              <w:t>The intercept provides evidence of fixed bias if the 95% confidence interval of the intercept does not contain 0</w:t>
            </w:r>
            <w:r w:rsidR="00C07AB4" w:rsidRPr="00CE2BEF">
              <w:t xml:space="preserve"> within its range</w:t>
            </w:r>
            <w:r w:rsidR="005E353B" w:rsidRPr="00CE2BEF">
              <w:t>.</w:t>
            </w:r>
            <w:bookmarkStart w:id="0" w:name="_GoBack"/>
            <w:bookmarkEnd w:id="0"/>
          </w:p>
          <w:p w:rsidR="005E353B" w:rsidRPr="00CE2BEF" w:rsidRDefault="00CE2BEF" w:rsidP="00235B00">
            <w:pPr>
              <w:spacing w:after="0"/>
            </w:pPr>
            <w:r w:rsidRPr="00CE2BEF">
              <w:rPr>
                <w:rFonts w:cs="Times New Roman"/>
              </w:rPr>
              <w:t>P</w:t>
            </w:r>
            <w:r w:rsidRPr="00CE2BEF">
              <w:rPr>
                <w:rFonts w:cs="Times New Roman"/>
              </w:rPr>
              <w:t xml:space="preserve">roportional bias occurs when agreement between the two FFQs varies with the magnitude of intakes for all nutrients. </w:t>
            </w:r>
            <w:r w:rsidR="005E353B" w:rsidRPr="00CE2BEF">
              <w:t>The slope provides evidence of proportional bias if the 95% confidence interval of the slop</w:t>
            </w:r>
            <w:r w:rsidR="00C07AB4" w:rsidRPr="00CE2BEF">
              <w:t>e</w:t>
            </w:r>
            <w:r w:rsidR="005E353B" w:rsidRPr="00CE2BEF">
              <w:t xml:space="preserve"> does not contain 1</w:t>
            </w:r>
            <w:r w:rsidR="00C07AB4" w:rsidRPr="00CE2BEF">
              <w:t xml:space="preserve"> within its range</w:t>
            </w:r>
            <w:r w:rsidR="005E353B" w:rsidRPr="00CE2BEF">
              <w:t>.</w:t>
            </w:r>
          </w:p>
        </w:tc>
      </w:tr>
      <w:tr w:rsidR="005E353B" w:rsidRPr="00E8135B" w:rsidTr="001227E8">
        <w:tc>
          <w:tcPr>
            <w:tcW w:w="3964" w:type="dxa"/>
          </w:tcPr>
          <w:p w:rsidR="005E353B" w:rsidRPr="00E8135B" w:rsidRDefault="005E353B" w:rsidP="005E353B">
            <w:pPr>
              <w:spacing w:after="0"/>
            </w:pPr>
            <w:r w:rsidRPr="00E8135B">
              <w:t>Classifying intakes into quintiles and cross-tabulating.</w:t>
            </w:r>
          </w:p>
          <w:p w:rsidR="005E353B" w:rsidRPr="00E8135B" w:rsidRDefault="005E353B" w:rsidP="005E353B">
            <w:pPr>
              <w:spacing w:after="0"/>
            </w:pPr>
          </w:p>
          <w:p w:rsidR="00C07AB4" w:rsidRPr="00E8135B" w:rsidRDefault="00C07AB4" w:rsidP="005E353B">
            <w:pPr>
              <w:spacing w:after="0"/>
            </w:pPr>
          </w:p>
          <w:p w:rsidR="00E8135B" w:rsidRPr="00E8135B" w:rsidRDefault="00E8135B" w:rsidP="005E353B">
            <w:pPr>
              <w:spacing w:after="0"/>
            </w:pPr>
          </w:p>
          <w:p w:rsidR="005E353B" w:rsidRPr="00E8135B" w:rsidRDefault="005E353B" w:rsidP="005E353B">
            <w:pPr>
              <w:spacing w:after="0"/>
            </w:pPr>
          </w:p>
          <w:p w:rsidR="00E8135B" w:rsidRPr="00E8135B" w:rsidRDefault="00E8135B" w:rsidP="005E353B">
            <w:pPr>
              <w:spacing w:after="0"/>
            </w:pPr>
          </w:p>
          <w:p w:rsidR="005E353B" w:rsidRPr="00E8135B" w:rsidRDefault="005E353B" w:rsidP="005E353B">
            <w:pPr>
              <w:spacing w:after="0"/>
            </w:pPr>
            <w:r w:rsidRPr="00E8135B">
              <w:t>Calculating weighted kappa statistics.</w:t>
            </w:r>
          </w:p>
        </w:tc>
        <w:tc>
          <w:tcPr>
            <w:tcW w:w="4962" w:type="dxa"/>
          </w:tcPr>
          <w:p w:rsidR="00E8135B" w:rsidRPr="001227E8" w:rsidRDefault="005E353B" w:rsidP="00E8135B">
            <w:pPr>
              <w:spacing w:after="0"/>
            </w:pPr>
            <w:r w:rsidRPr="001227E8">
              <w:lastRenderedPageBreak/>
              <w:t>Investigatin</w:t>
            </w:r>
            <w:r w:rsidR="00C07AB4" w:rsidRPr="001227E8">
              <w:t>g grouping or ranking of nutrient intakes in</w:t>
            </w:r>
            <w:r w:rsidR="001227E8" w:rsidRPr="001227E8">
              <w:t>to</w:t>
            </w:r>
            <w:r w:rsidR="00C07AB4" w:rsidRPr="001227E8">
              <w:t xml:space="preserve"> quintiles</w:t>
            </w:r>
            <w:r w:rsidRPr="001227E8">
              <w:t xml:space="preserve"> </w:t>
            </w:r>
            <w:r w:rsidR="00C07AB4" w:rsidRPr="001227E8">
              <w:t>(</w:t>
            </w:r>
            <w:r w:rsidRPr="001227E8">
              <w:t>all other methods investigate absolute intakes</w:t>
            </w:r>
            <w:r w:rsidR="00C07AB4" w:rsidRPr="001227E8">
              <w:t xml:space="preserve">) within each FFQ and comparing the rankings </w:t>
            </w:r>
            <w:r w:rsidR="00C07AB4" w:rsidRPr="001227E8">
              <w:lastRenderedPageBreak/>
              <w:t>between the two FFQs to asses</w:t>
            </w:r>
            <w:r w:rsidRPr="001227E8">
              <w:t>s whether the two FFQs rank individuals results in the same or adjacent quintile.</w:t>
            </w:r>
          </w:p>
          <w:p w:rsidR="005E353B" w:rsidRPr="001227E8" w:rsidRDefault="005E353B" w:rsidP="001227E8">
            <w:pPr>
              <w:spacing w:after="0"/>
            </w:pPr>
            <w:r w:rsidRPr="001227E8">
              <w:t xml:space="preserve">Provides strength of agreement between </w:t>
            </w:r>
            <w:r w:rsidR="00C07AB4" w:rsidRPr="001227E8">
              <w:t>quintile rankings for nutrient intakes as assessed by each FFQ</w:t>
            </w:r>
            <w:r w:rsidRPr="001227E8">
              <w:t>.</w:t>
            </w:r>
            <w:r w:rsidR="00235B00" w:rsidRPr="001227E8">
              <w:t xml:space="preserve"> Weighted kappa </w:t>
            </w:r>
            <w:r w:rsidR="00235B00" w:rsidRPr="001227E8">
              <w:rPr>
                <w:rFonts w:cs="Arial"/>
                <w:shd w:val="clear" w:color="auto" w:fill="FFFFFF"/>
              </w:rPr>
              <w:t xml:space="preserve">values less than 0 indicate no agreement, 0 – 0.20 indicate slight agreement, 0.21 – 0.40 indicate fair agreement, 0.41 – 0.60 indicate moderate agreement, 0.61 – 0.80 indicate substantial agreement, and 0.81 – 1 </w:t>
            </w:r>
            <w:r w:rsidR="001227E8" w:rsidRPr="001227E8">
              <w:rPr>
                <w:rFonts w:cs="Arial"/>
                <w:shd w:val="clear" w:color="auto" w:fill="FFFFFF"/>
              </w:rPr>
              <w:t>indicates</w:t>
            </w:r>
            <w:r w:rsidR="00235B00" w:rsidRPr="001227E8">
              <w:rPr>
                <w:rFonts w:cs="Arial"/>
                <w:shd w:val="clear" w:color="auto" w:fill="FFFFFF"/>
              </w:rPr>
              <w:t xml:space="preserve"> almost perfect agreement.</w:t>
            </w:r>
          </w:p>
        </w:tc>
      </w:tr>
      <w:tr w:rsidR="005E353B" w:rsidRPr="00E8135B" w:rsidTr="001227E8">
        <w:tc>
          <w:tcPr>
            <w:tcW w:w="3964" w:type="dxa"/>
          </w:tcPr>
          <w:p w:rsidR="005E353B" w:rsidRPr="00E8135B" w:rsidRDefault="005E353B" w:rsidP="00C07AB4">
            <w:pPr>
              <w:spacing w:after="0"/>
            </w:pPr>
            <w:r w:rsidRPr="00E8135B">
              <w:lastRenderedPageBreak/>
              <w:t xml:space="preserve">All of the above </w:t>
            </w:r>
            <w:r w:rsidR="00C07AB4" w:rsidRPr="00E8135B">
              <w:t xml:space="preserve">analyses were </w:t>
            </w:r>
            <w:r w:rsidRPr="00E8135B">
              <w:t>repeated following stratification of the cohort by gender.</w:t>
            </w:r>
          </w:p>
        </w:tc>
        <w:tc>
          <w:tcPr>
            <w:tcW w:w="4962" w:type="dxa"/>
          </w:tcPr>
          <w:p w:rsidR="005E353B" w:rsidRPr="001227E8" w:rsidRDefault="005E353B" w:rsidP="00235B00">
            <w:pPr>
              <w:spacing w:after="0"/>
            </w:pPr>
            <w:r w:rsidRPr="001227E8">
              <w:t xml:space="preserve">FFQs can over- or under-report </w:t>
            </w:r>
            <w:r w:rsidR="00C07AB4" w:rsidRPr="001227E8">
              <w:t>nutrient intakes in a gender-specific manner.</w:t>
            </w:r>
          </w:p>
        </w:tc>
      </w:tr>
    </w:tbl>
    <w:p w:rsidR="00C4513E" w:rsidRDefault="00C4513E" w:rsidP="001227E8">
      <w:pPr>
        <w:spacing w:after="0" w:line="240" w:lineRule="auto"/>
        <w:ind w:right="95"/>
        <w:jc w:val="both"/>
        <w:rPr>
          <w:rFonts w:ascii="Times New Roman" w:hAnsi="Times New Roman" w:cs="Times New Roman"/>
          <w:bCs/>
          <w:sz w:val="24"/>
          <w:szCs w:val="24"/>
        </w:rPr>
      </w:pPr>
      <w:r w:rsidRPr="0007062F">
        <w:rPr>
          <w:rFonts w:cs="Times New Roman"/>
          <w:sz w:val="16"/>
          <w:szCs w:val="16"/>
        </w:rPr>
        <w:t>Abbreviations; CCVFFQ, Cancer Council of Victoria food frequency questionnaire; CSIROFFQ, Commonwealth Scientific and Industrial Research Organisation food frequency questionnaire</w:t>
      </w:r>
      <w:r>
        <w:rPr>
          <w:rFonts w:cs="Times New Roman"/>
          <w:sz w:val="16"/>
          <w:szCs w:val="16"/>
        </w:rPr>
        <w:t>.</w:t>
      </w:r>
    </w:p>
    <w:p w:rsidR="00647552" w:rsidRDefault="00647552" w:rsidP="005F6417"/>
    <w:p w:rsidR="00647552" w:rsidRDefault="00647552"/>
    <w:p w:rsidR="00647552" w:rsidRDefault="00647552"/>
    <w:p w:rsidR="00647552" w:rsidRDefault="00647552"/>
    <w:p w:rsidR="00647552" w:rsidRDefault="00647552"/>
    <w:p w:rsidR="00D6676F" w:rsidRDefault="00D6676F"/>
    <w:p w:rsidR="00D6676F" w:rsidRDefault="00D6676F"/>
    <w:p w:rsidR="00647552" w:rsidRDefault="00647552"/>
    <w:p w:rsidR="00647552" w:rsidRDefault="00647552"/>
    <w:sectPr w:rsidR="006475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A7" w:rsidRDefault="00197CA7" w:rsidP="005F6417">
      <w:pPr>
        <w:spacing w:after="0" w:line="240" w:lineRule="auto"/>
      </w:pPr>
      <w:r>
        <w:separator/>
      </w:r>
    </w:p>
  </w:endnote>
  <w:endnote w:type="continuationSeparator" w:id="0">
    <w:p w:rsidR="00197CA7" w:rsidRDefault="00197CA7" w:rsidP="005F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A7" w:rsidRDefault="00197CA7" w:rsidP="005F6417">
      <w:pPr>
        <w:spacing w:after="0" w:line="240" w:lineRule="auto"/>
      </w:pPr>
      <w:r>
        <w:separator/>
      </w:r>
    </w:p>
  </w:footnote>
  <w:footnote w:type="continuationSeparator" w:id="0">
    <w:p w:rsidR="00197CA7" w:rsidRDefault="00197CA7" w:rsidP="005F6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32"/>
    <w:rsid w:val="00012197"/>
    <w:rsid w:val="001227E8"/>
    <w:rsid w:val="00197CA7"/>
    <w:rsid w:val="00235B00"/>
    <w:rsid w:val="003357FD"/>
    <w:rsid w:val="005E353B"/>
    <w:rsid w:val="005F6417"/>
    <w:rsid w:val="00647552"/>
    <w:rsid w:val="00752202"/>
    <w:rsid w:val="00920E78"/>
    <w:rsid w:val="0096311B"/>
    <w:rsid w:val="009B5197"/>
    <w:rsid w:val="00A02C32"/>
    <w:rsid w:val="00AD54B2"/>
    <w:rsid w:val="00AF167E"/>
    <w:rsid w:val="00C07AB4"/>
    <w:rsid w:val="00C4513E"/>
    <w:rsid w:val="00CE2BEF"/>
    <w:rsid w:val="00D34726"/>
    <w:rsid w:val="00D6676F"/>
    <w:rsid w:val="00E476EF"/>
    <w:rsid w:val="00E81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7903-35E2-4185-9B80-8D1F3DFA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32"/>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417"/>
    <w:rPr>
      <w:rFonts w:eastAsiaTheme="minorEastAsia"/>
      <w:lang w:eastAsia="en-AU"/>
    </w:rPr>
  </w:style>
  <w:style w:type="paragraph" w:styleId="Footer">
    <w:name w:val="footer"/>
    <w:basedOn w:val="Normal"/>
    <w:link w:val="FooterChar"/>
    <w:uiPriority w:val="99"/>
    <w:unhideWhenUsed/>
    <w:rsid w:val="005F6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417"/>
    <w:rPr>
      <w:rFonts w:eastAsiaTheme="minorEastAsia"/>
      <w:lang w:eastAsia="en-AU"/>
    </w:rPr>
  </w:style>
  <w:style w:type="character" w:customStyle="1" w:styleId="apple-converted-space">
    <w:name w:val="apple-converted-space"/>
    <w:basedOn w:val="DefaultParagraphFont"/>
    <w:rsid w:val="005E353B"/>
  </w:style>
  <w:style w:type="paragraph" w:styleId="BalloonText">
    <w:name w:val="Balloon Text"/>
    <w:basedOn w:val="Normal"/>
    <w:link w:val="BalloonTextChar"/>
    <w:uiPriority w:val="99"/>
    <w:semiHidden/>
    <w:unhideWhenUsed/>
    <w:rsid w:val="009B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97"/>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Gardener</dc:creator>
  <cp:keywords/>
  <dc:description/>
  <cp:lastModifiedBy>Samantha Gardener</cp:lastModifiedBy>
  <cp:revision>10</cp:revision>
  <cp:lastPrinted>2015-05-08T04:50:00Z</cp:lastPrinted>
  <dcterms:created xsi:type="dcterms:W3CDTF">2015-02-19T05:27:00Z</dcterms:created>
  <dcterms:modified xsi:type="dcterms:W3CDTF">2015-05-11T01:05:00Z</dcterms:modified>
</cp:coreProperties>
</file>