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DA04E" w14:textId="77777777" w:rsidR="007E3DBB" w:rsidRDefault="007E3DBB" w:rsidP="007E3DBB"/>
    <w:p w14:paraId="6146A8FB" w14:textId="6ECD97AC" w:rsidR="007E3DBB" w:rsidRPr="007E3DBB" w:rsidRDefault="007E3DBB" w:rsidP="007E3DBB">
      <w:r w:rsidRPr="002343B6">
        <w:rPr>
          <w:noProof/>
          <w:lang w:val="en-US"/>
        </w:rPr>
        <w:drawing>
          <wp:inline distT="0" distB="0" distL="0" distR="0" wp14:anchorId="60409BC4" wp14:editId="3883A93C">
            <wp:extent cx="5270500" cy="485832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0" cy="4858329"/>
                    </a:xfrm>
                    <a:prstGeom prst="rect">
                      <a:avLst/>
                    </a:prstGeom>
                    <a:noFill/>
                    <a:ln>
                      <a:noFill/>
                    </a:ln>
                  </pic:spPr>
                </pic:pic>
              </a:graphicData>
            </a:graphic>
          </wp:inline>
        </w:drawing>
      </w:r>
    </w:p>
    <w:p w14:paraId="2F5E6D6D" w14:textId="202CC467" w:rsidR="00A96975" w:rsidRDefault="00A96975" w:rsidP="00A96975">
      <w:pPr>
        <w:spacing w:before="50" w:line="480" w:lineRule="auto"/>
        <w:jc w:val="both"/>
        <w:rPr>
          <w:b/>
        </w:rPr>
      </w:pPr>
      <w:r>
        <w:rPr>
          <w:b/>
        </w:rPr>
        <w:t>Figure S1</w:t>
      </w:r>
      <w:r w:rsidRPr="002343B6">
        <w:rPr>
          <w:b/>
        </w:rPr>
        <w:t>: Typical HPLC chromatograms for urine samples</w:t>
      </w:r>
      <w:r w:rsidRPr="00E16F74">
        <w:t xml:space="preserve"> </w:t>
      </w:r>
      <w:r w:rsidRPr="00E16F74">
        <w:rPr>
          <w:b/>
        </w:rPr>
        <w:t>following ingestion of the OLE extract</w:t>
      </w:r>
      <w:r w:rsidRPr="002343B6">
        <w:rPr>
          <w:b/>
        </w:rPr>
        <w:t xml:space="preserve">. </w:t>
      </w:r>
    </w:p>
    <w:p w14:paraId="5498C07E" w14:textId="77777777" w:rsidR="00A96975" w:rsidRDefault="00A96975" w:rsidP="00A96975">
      <w:pPr>
        <w:spacing w:before="50" w:line="480" w:lineRule="auto"/>
        <w:jc w:val="both"/>
      </w:pPr>
      <w:r>
        <w:t>P</w:t>
      </w:r>
      <w:r w:rsidRPr="002343B6">
        <w:t xml:space="preserve">urple: </w:t>
      </w:r>
      <w:r>
        <w:t>0-4 h; green: 4-8h; blue: 8-24h</w:t>
      </w:r>
      <w:r w:rsidRPr="002343B6">
        <w:t xml:space="preserve">.  HT (8.6 min), tyrosol (14.0 min), HVA (17.4 min), EDA (30.3 min), oleuropein (38.3 min) and EA (41.3 min) were identified using authentic standards whilst the peaks at 31.7, 34.1, 37.2 and 38.8 min were tentatively characterised as EDA/oleuropein metabolites by spectral mapping with EDA/oleuropein standards. </w:t>
      </w:r>
    </w:p>
    <w:p w14:paraId="5D07FE64" w14:textId="77777777" w:rsidR="00342DC1" w:rsidRDefault="00342DC1" w:rsidP="00342DC1">
      <w:pPr>
        <w:spacing w:before="50" w:line="480" w:lineRule="auto"/>
        <w:jc w:val="both"/>
      </w:pPr>
      <w:r>
        <w:t xml:space="preserve">N.B. </w:t>
      </w:r>
      <w:r w:rsidRPr="002343B6">
        <w:t xml:space="preserve">Tyrosol was identified in the urine of </w:t>
      </w:r>
      <w:r>
        <w:t xml:space="preserve">only </w:t>
      </w:r>
      <w:r w:rsidRPr="002343B6">
        <w:t>one individual in the following amounts: 1.2</w:t>
      </w:r>
      <w:r>
        <w:t xml:space="preserve"> </w:t>
      </w:r>
      <w:r w:rsidRPr="002343B6">
        <w:t xml:space="preserve">mg (0-4 </w:t>
      </w:r>
      <w:proofErr w:type="spellStart"/>
      <w:r w:rsidRPr="002343B6">
        <w:t>hrs</w:t>
      </w:r>
      <w:proofErr w:type="spellEnd"/>
      <w:r w:rsidRPr="002343B6">
        <w:t>), 2.36</w:t>
      </w:r>
      <w:r>
        <w:t xml:space="preserve"> </w:t>
      </w:r>
      <w:r w:rsidRPr="002343B6">
        <w:t xml:space="preserve">mg (4-8 </w:t>
      </w:r>
      <w:proofErr w:type="spellStart"/>
      <w:r w:rsidRPr="002343B6">
        <w:t>hrs</w:t>
      </w:r>
      <w:proofErr w:type="spellEnd"/>
      <w:r w:rsidRPr="002343B6">
        <w:t xml:space="preserve">), </w:t>
      </w:r>
      <w:proofErr w:type="gramStart"/>
      <w:r w:rsidRPr="002343B6">
        <w:t>1.0</w:t>
      </w:r>
      <w:r>
        <w:t xml:space="preserve"> </w:t>
      </w:r>
      <w:r w:rsidRPr="002343B6">
        <w:t>mg</w:t>
      </w:r>
      <w:proofErr w:type="gramEnd"/>
      <w:r w:rsidRPr="002343B6">
        <w:t xml:space="preserve"> (8-24 </w:t>
      </w:r>
      <w:proofErr w:type="spellStart"/>
      <w:r w:rsidRPr="002343B6">
        <w:t>hrs</w:t>
      </w:r>
      <w:proofErr w:type="spellEnd"/>
      <w:r w:rsidRPr="002343B6">
        <w:t>)</w:t>
      </w:r>
    </w:p>
    <w:p w14:paraId="4792926B" w14:textId="77777777" w:rsidR="00342DC1" w:rsidRDefault="00342DC1" w:rsidP="00A96975">
      <w:pPr>
        <w:spacing w:before="50" w:line="480" w:lineRule="auto"/>
        <w:jc w:val="both"/>
      </w:pPr>
    </w:p>
    <w:p w14:paraId="0DDB8B27" w14:textId="77777777" w:rsidR="00F6195B" w:rsidRDefault="00F6195B" w:rsidP="00F6195B">
      <w:pPr>
        <w:spacing w:line="360" w:lineRule="auto"/>
        <w:jc w:val="both"/>
        <w:rPr>
          <w:rFonts w:eastAsiaTheme="minorEastAsia"/>
          <w:b/>
          <w:lang w:val="en-US"/>
        </w:rPr>
      </w:pPr>
      <w:bookmarkStart w:id="0" w:name="_Toc260653933"/>
    </w:p>
    <w:p w14:paraId="66415DB5" w14:textId="77777777" w:rsidR="00F6195B" w:rsidRPr="00D267E2" w:rsidRDefault="00F6195B" w:rsidP="00F6195B">
      <w:pPr>
        <w:spacing w:line="360" w:lineRule="auto"/>
        <w:jc w:val="both"/>
        <w:rPr>
          <w:rFonts w:eastAsiaTheme="minorEastAsia"/>
          <w:b/>
          <w:lang w:val="en-US"/>
        </w:rPr>
      </w:pPr>
      <w:r>
        <w:rPr>
          <w:rFonts w:eastAsiaTheme="minorEastAsia"/>
          <w:b/>
          <w:lang w:val="en-US"/>
        </w:rPr>
        <w:lastRenderedPageBreak/>
        <w:t>Table S1:</w:t>
      </w:r>
      <w:r w:rsidRPr="00D267E2">
        <w:rPr>
          <w:rFonts w:eastAsiaTheme="minorEastAsia"/>
          <w:b/>
          <w:lang w:val="en-US"/>
        </w:rPr>
        <w:t xml:space="preserve"> Baseline characteristics of the subjects</w:t>
      </w:r>
    </w:p>
    <w:tbl>
      <w:tblPr>
        <w:tblStyle w:val="TableGrid"/>
        <w:tblW w:w="0" w:type="auto"/>
        <w:tblLook w:val="04A0" w:firstRow="1" w:lastRow="0" w:firstColumn="1" w:lastColumn="0" w:noHBand="0" w:noVBand="1"/>
      </w:tblPr>
      <w:tblGrid>
        <w:gridCol w:w="4258"/>
        <w:gridCol w:w="4258"/>
      </w:tblGrid>
      <w:tr w:rsidR="00F6195B" w:rsidRPr="002C7AB8" w14:paraId="6CBECF71" w14:textId="77777777" w:rsidTr="00767616">
        <w:tc>
          <w:tcPr>
            <w:tcW w:w="4258" w:type="dxa"/>
            <w:tcBorders>
              <w:top w:val="single" w:sz="4" w:space="0" w:color="auto"/>
              <w:left w:val="single" w:sz="4" w:space="0" w:color="auto"/>
              <w:bottom w:val="single" w:sz="4" w:space="0" w:color="auto"/>
              <w:right w:val="nil"/>
            </w:tcBorders>
          </w:tcPr>
          <w:p w14:paraId="74B4DD44" w14:textId="77777777" w:rsidR="00F6195B" w:rsidRPr="002C7AB8" w:rsidRDefault="00F6195B" w:rsidP="00767616">
            <w:pPr>
              <w:spacing w:line="360" w:lineRule="auto"/>
              <w:jc w:val="center"/>
              <w:rPr>
                <w:rFonts w:eastAsiaTheme="minorEastAsia"/>
                <w:b/>
                <w:sz w:val="24"/>
                <w:szCs w:val="24"/>
                <w:lang w:val="en-US"/>
              </w:rPr>
            </w:pPr>
            <w:r w:rsidRPr="002C7AB8">
              <w:rPr>
                <w:rFonts w:eastAsiaTheme="minorEastAsia"/>
                <w:b/>
                <w:sz w:val="24"/>
                <w:szCs w:val="24"/>
                <w:lang w:val="en-US"/>
              </w:rPr>
              <w:t>Variable</w:t>
            </w:r>
          </w:p>
        </w:tc>
        <w:tc>
          <w:tcPr>
            <w:tcW w:w="4258" w:type="dxa"/>
            <w:tcBorders>
              <w:top w:val="single" w:sz="4" w:space="0" w:color="auto"/>
              <w:left w:val="nil"/>
              <w:bottom w:val="single" w:sz="4" w:space="0" w:color="auto"/>
              <w:right w:val="single" w:sz="4" w:space="0" w:color="auto"/>
            </w:tcBorders>
          </w:tcPr>
          <w:p w14:paraId="599964D9" w14:textId="77777777" w:rsidR="00F6195B" w:rsidRPr="002C7AB8" w:rsidRDefault="00F6195B" w:rsidP="00767616">
            <w:pPr>
              <w:spacing w:line="360" w:lineRule="auto"/>
              <w:jc w:val="center"/>
              <w:rPr>
                <w:rFonts w:eastAsiaTheme="minorEastAsia"/>
                <w:b/>
                <w:sz w:val="24"/>
                <w:szCs w:val="24"/>
                <w:lang w:val="en-US"/>
              </w:rPr>
            </w:pPr>
            <w:r w:rsidRPr="002C7AB8">
              <w:rPr>
                <w:rFonts w:eastAsiaTheme="minorEastAsia"/>
                <w:b/>
                <w:sz w:val="24"/>
                <w:szCs w:val="24"/>
                <w:lang w:val="en-US"/>
              </w:rPr>
              <w:t>Mean (</w:t>
            </w:r>
            <w:r w:rsidRPr="002C7AB8">
              <w:rPr>
                <w:b/>
                <w:sz w:val="24"/>
                <w:szCs w:val="24"/>
              </w:rPr>
              <w:t>±SD)</w:t>
            </w:r>
          </w:p>
        </w:tc>
      </w:tr>
      <w:tr w:rsidR="00F6195B" w:rsidRPr="002C7AB8" w14:paraId="37BF26A4" w14:textId="77777777" w:rsidTr="00767616">
        <w:tc>
          <w:tcPr>
            <w:tcW w:w="4258" w:type="dxa"/>
            <w:tcBorders>
              <w:top w:val="single" w:sz="4" w:space="0" w:color="auto"/>
              <w:left w:val="single" w:sz="4" w:space="0" w:color="auto"/>
              <w:bottom w:val="nil"/>
              <w:right w:val="nil"/>
            </w:tcBorders>
          </w:tcPr>
          <w:p w14:paraId="6F29107E" w14:textId="77777777" w:rsidR="00F6195B" w:rsidRPr="002C7AB8" w:rsidRDefault="00F6195B" w:rsidP="00767616">
            <w:pPr>
              <w:spacing w:line="360" w:lineRule="auto"/>
              <w:jc w:val="center"/>
              <w:rPr>
                <w:rFonts w:eastAsiaTheme="minorEastAsia"/>
                <w:sz w:val="24"/>
                <w:szCs w:val="24"/>
                <w:lang w:val="en-US"/>
              </w:rPr>
            </w:pPr>
            <w:r w:rsidRPr="002C7AB8">
              <w:rPr>
                <w:rFonts w:eastAsiaTheme="minorEastAsia"/>
                <w:sz w:val="24"/>
                <w:szCs w:val="24"/>
                <w:lang w:val="en-US"/>
              </w:rPr>
              <w:t>Age (years)</w:t>
            </w:r>
          </w:p>
        </w:tc>
        <w:tc>
          <w:tcPr>
            <w:tcW w:w="4258" w:type="dxa"/>
            <w:tcBorders>
              <w:top w:val="single" w:sz="4" w:space="0" w:color="auto"/>
              <w:left w:val="nil"/>
              <w:bottom w:val="nil"/>
              <w:right w:val="single" w:sz="4" w:space="0" w:color="auto"/>
            </w:tcBorders>
          </w:tcPr>
          <w:p w14:paraId="156AA817" w14:textId="77777777" w:rsidR="00F6195B" w:rsidRPr="002C7AB8" w:rsidRDefault="00F6195B" w:rsidP="00767616">
            <w:pPr>
              <w:spacing w:line="360" w:lineRule="auto"/>
              <w:jc w:val="center"/>
              <w:rPr>
                <w:rFonts w:eastAsiaTheme="minorEastAsia"/>
                <w:sz w:val="24"/>
                <w:szCs w:val="24"/>
                <w:lang w:val="en-US"/>
              </w:rPr>
            </w:pPr>
            <w:r w:rsidRPr="002C7AB8">
              <w:rPr>
                <w:rFonts w:eastAsiaTheme="minorEastAsia"/>
                <w:sz w:val="24"/>
                <w:szCs w:val="24"/>
                <w:lang w:val="en-US"/>
              </w:rPr>
              <w:t>25.4 (5.6)</w:t>
            </w:r>
          </w:p>
        </w:tc>
      </w:tr>
      <w:tr w:rsidR="00F6195B" w:rsidRPr="002C7AB8" w14:paraId="4EA8754B" w14:textId="77777777" w:rsidTr="00767616">
        <w:tc>
          <w:tcPr>
            <w:tcW w:w="4258" w:type="dxa"/>
            <w:tcBorders>
              <w:top w:val="nil"/>
              <w:left w:val="single" w:sz="4" w:space="0" w:color="auto"/>
              <w:bottom w:val="nil"/>
              <w:right w:val="nil"/>
            </w:tcBorders>
          </w:tcPr>
          <w:p w14:paraId="3B3A2277" w14:textId="77777777" w:rsidR="00F6195B" w:rsidRPr="002C7AB8" w:rsidRDefault="00F6195B" w:rsidP="00767616">
            <w:pPr>
              <w:spacing w:line="360" w:lineRule="auto"/>
              <w:jc w:val="center"/>
              <w:rPr>
                <w:rFonts w:eastAsiaTheme="minorEastAsia"/>
                <w:sz w:val="24"/>
                <w:szCs w:val="24"/>
                <w:lang w:val="en-US"/>
              </w:rPr>
            </w:pPr>
            <w:r w:rsidRPr="002C7AB8">
              <w:rPr>
                <w:rFonts w:eastAsiaTheme="minorEastAsia"/>
                <w:sz w:val="24"/>
                <w:szCs w:val="24"/>
                <w:lang w:val="en-US"/>
              </w:rPr>
              <w:t>BMI (kg/m</w:t>
            </w:r>
            <w:r w:rsidRPr="002C7AB8">
              <w:rPr>
                <w:rFonts w:eastAsiaTheme="minorEastAsia"/>
                <w:sz w:val="24"/>
                <w:szCs w:val="24"/>
                <w:vertAlign w:val="superscript"/>
                <w:lang w:val="en-US"/>
              </w:rPr>
              <w:t>2</w:t>
            </w:r>
            <w:r w:rsidRPr="002C7AB8">
              <w:rPr>
                <w:rFonts w:eastAsiaTheme="minorEastAsia"/>
                <w:sz w:val="24"/>
                <w:szCs w:val="24"/>
                <w:lang w:val="en-US"/>
              </w:rPr>
              <w:t>)</w:t>
            </w:r>
          </w:p>
        </w:tc>
        <w:tc>
          <w:tcPr>
            <w:tcW w:w="4258" w:type="dxa"/>
            <w:tcBorders>
              <w:top w:val="nil"/>
              <w:left w:val="nil"/>
              <w:bottom w:val="nil"/>
              <w:right w:val="single" w:sz="4" w:space="0" w:color="auto"/>
            </w:tcBorders>
          </w:tcPr>
          <w:p w14:paraId="4049149C" w14:textId="77777777" w:rsidR="00F6195B" w:rsidRPr="002C7AB8" w:rsidRDefault="00F6195B" w:rsidP="00767616">
            <w:pPr>
              <w:spacing w:line="360" w:lineRule="auto"/>
              <w:jc w:val="center"/>
              <w:rPr>
                <w:rFonts w:eastAsiaTheme="minorEastAsia"/>
                <w:sz w:val="24"/>
                <w:szCs w:val="24"/>
                <w:lang w:val="en-US"/>
              </w:rPr>
            </w:pPr>
            <w:r w:rsidRPr="002C7AB8">
              <w:rPr>
                <w:rFonts w:eastAsiaTheme="minorEastAsia"/>
                <w:sz w:val="24"/>
                <w:szCs w:val="24"/>
                <w:lang w:val="en-US"/>
              </w:rPr>
              <w:t>23.0 (2.1)</w:t>
            </w:r>
          </w:p>
        </w:tc>
      </w:tr>
      <w:tr w:rsidR="00F6195B" w:rsidRPr="002C7AB8" w14:paraId="569C8338" w14:textId="77777777" w:rsidTr="00767616">
        <w:tc>
          <w:tcPr>
            <w:tcW w:w="4258" w:type="dxa"/>
            <w:tcBorders>
              <w:top w:val="nil"/>
              <w:left w:val="single" w:sz="4" w:space="0" w:color="auto"/>
              <w:bottom w:val="nil"/>
              <w:right w:val="nil"/>
            </w:tcBorders>
          </w:tcPr>
          <w:p w14:paraId="2FA8A92C" w14:textId="77777777" w:rsidR="00F6195B" w:rsidRPr="002C7AB8" w:rsidRDefault="00F6195B" w:rsidP="00767616">
            <w:pPr>
              <w:spacing w:line="360" w:lineRule="auto"/>
              <w:jc w:val="center"/>
              <w:rPr>
                <w:rFonts w:eastAsiaTheme="minorEastAsia"/>
                <w:sz w:val="24"/>
                <w:szCs w:val="24"/>
                <w:lang w:val="en-US"/>
              </w:rPr>
            </w:pPr>
            <w:proofErr w:type="spellStart"/>
            <w:r w:rsidRPr="002C7AB8">
              <w:rPr>
                <w:rFonts w:eastAsiaTheme="minorEastAsia"/>
                <w:sz w:val="24"/>
                <w:szCs w:val="24"/>
                <w:lang w:val="en-US"/>
              </w:rPr>
              <w:t>Waist</w:t>
            </w:r>
            <w:proofErr w:type="gramStart"/>
            <w:r w:rsidRPr="002C7AB8">
              <w:rPr>
                <w:rFonts w:eastAsiaTheme="minorEastAsia"/>
                <w:sz w:val="24"/>
                <w:szCs w:val="24"/>
                <w:lang w:val="en-US"/>
              </w:rPr>
              <w:t>:hip</w:t>
            </w:r>
            <w:proofErr w:type="spellEnd"/>
            <w:proofErr w:type="gramEnd"/>
            <w:r w:rsidRPr="002C7AB8">
              <w:rPr>
                <w:rFonts w:eastAsiaTheme="minorEastAsia"/>
                <w:sz w:val="24"/>
                <w:szCs w:val="24"/>
                <w:lang w:val="en-US"/>
              </w:rPr>
              <w:t xml:space="preserve"> ratio</w:t>
            </w:r>
          </w:p>
        </w:tc>
        <w:tc>
          <w:tcPr>
            <w:tcW w:w="4258" w:type="dxa"/>
            <w:tcBorders>
              <w:top w:val="nil"/>
              <w:left w:val="nil"/>
              <w:bottom w:val="nil"/>
              <w:right w:val="single" w:sz="4" w:space="0" w:color="auto"/>
            </w:tcBorders>
          </w:tcPr>
          <w:p w14:paraId="746EB82D" w14:textId="77777777" w:rsidR="00F6195B" w:rsidRPr="002C7AB8" w:rsidRDefault="00F6195B" w:rsidP="00767616">
            <w:pPr>
              <w:spacing w:line="360" w:lineRule="auto"/>
              <w:jc w:val="center"/>
              <w:rPr>
                <w:rFonts w:eastAsiaTheme="minorEastAsia"/>
                <w:sz w:val="24"/>
                <w:szCs w:val="24"/>
                <w:lang w:val="en-US"/>
              </w:rPr>
            </w:pPr>
            <w:r w:rsidRPr="002C7AB8">
              <w:rPr>
                <w:rFonts w:eastAsiaTheme="minorEastAsia"/>
                <w:sz w:val="24"/>
                <w:szCs w:val="24"/>
                <w:lang w:val="en-US"/>
              </w:rPr>
              <w:t>0.8 (0.1)</w:t>
            </w:r>
          </w:p>
        </w:tc>
      </w:tr>
      <w:tr w:rsidR="00F6195B" w:rsidRPr="002C7AB8" w14:paraId="2A6EE9EF" w14:textId="77777777" w:rsidTr="00767616">
        <w:tc>
          <w:tcPr>
            <w:tcW w:w="4258" w:type="dxa"/>
            <w:tcBorders>
              <w:top w:val="nil"/>
              <w:left w:val="single" w:sz="4" w:space="0" w:color="auto"/>
              <w:bottom w:val="nil"/>
              <w:right w:val="nil"/>
            </w:tcBorders>
          </w:tcPr>
          <w:p w14:paraId="4D62D256" w14:textId="77777777" w:rsidR="00F6195B" w:rsidRPr="002C7AB8" w:rsidRDefault="00F6195B" w:rsidP="00767616">
            <w:pPr>
              <w:spacing w:line="360" w:lineRule="auto"/>
              <w:jc w:val="center"/>
              <w:rPr>
                <w:rFonts w:eastAsiaTheme="minorEastAsia"/>
                <w:sz w:val="24"/>
                <w:szCs w:val="24"/>
                <w:lang w:val="en-US"/>
              </w:rPr>
            </w:pPr>
            <w:r w:rsidRPr="002C7AB8">
              <w:rPr>
                <w:rFonts w:eastAsiaTheme="minorEastAsia"/>
                <w:sz w:val="24"/>
                <w:szCs w:val="24"/>
                <w:lang w:val="en-US"/>
              </w:rPr>
              <w:t>Blood pressure (mm Hg)</w:t>
            </w:r>
          </w:p>
        </w:tc>
        <w:tc>
          <w:tcPr>
            <w:tcW w:w="4258" w:type="dxa"/>
            <w:tcBorders>
              <w:top w:val="nil"/>
              <w:left w:val="nil"/>
              <w:bottom w:val="nil"/>
              <w:right w:val="single" w:sz="4" w:space="0" w:color="auto"/>
            </w:tcBorders>
          </w:tcPr>
          <w:p w14:paraId="632C02A9" w14:textId="77777777" w:rsidR="00F6195B" w:rsidRPr="002C7AB8" w:rsidRDefault="00F6195B" w:rsidP="00767616">
            <w:pPr>
              <w:spacing w:line="360" w:lineRule="auto"/>
              <w:jc w:val="center"/>
              <w:rPr>
                <w:rFonts w:eastAsiaTheme="minorEastAsia"/>
                <w:sz w:val="24"/>
                <w:szCs w:val="24"/>
                <w:lang w:val="en-US"/>
              </w:rPr>
            </w:pPr>
            <w:r w:rsidRPr="002C7AB8">
              <w:rPr>
                <w:rFonts w:eastAsiaTheme="minorEastAsia"/>
                <w:sz w:val="24"/>
                <w:szCs w:val="24"/>
                <w:lang w:val="en-US"/>
              </w:rPr>
              <w:t>119.5 (10.9) / 72.1 (5.8)</w:t>
            </w:r>
          </w:p>
        </w:tc>
      </w:tr>
      <w:tr w:rsidR="00F6195B" w:rsidRPr="002C7AB8" w14:paraId="2C2DE726" w14:textId="77777777" w:rsidTr="00767616">
        <w:tc>
          <w:tcPr>
            <w:tcW w:w="4258" w:type="dxa"/>
            <w:tcBorders>
              <w:top w:val="nil"/>
              <w:left w:val="single" w:sz="4" w:space="0" w:color="auto"/>
              <w:bottom w:val="nil"/>
              <w:right w:val="nil"/>
            </w:tcBorders>
          </w:tcPr>
          <w:p w14:paraId="7C1135CF" w14:textId="77777777" w:rsidR="00F6195B" w:rsidRPr="002C7AB8" w:rsidRDefault="00F6195B" w:rsidP="00767616">
            <w:pPr>
              <w:spacing w:line="360" w:lineRule="auto"/>
              <w:jc w:val="center"/>
              <w:rPr>
                <w:rFonts w:eastAsiaTheme="minorEastAsia"/>
                <w:sz w:val="24"/>
                <w:szCs w:val="24"/>
                <w:lang w:val="en-US"/>
              </w:rPr>
            </w:pPr>
            <w:r w:rsidRPr="002C7AB8">
              <w:rPr>
                <w:rFonts w:eastAsiaTheme="minorEastAsia"/>
                <w:sz w:val="24"/>
                <w:szCs w:val="24"/>
                <w:lang w:val="en-US"/>
              </w:rPr>
              <w:t>Total cholesterol (</w:t>
            </w:r>
            <w:proofErr w:type="spellStart"/>
            <w:r w:rsidRPr="002C7AB8">
              <w:rPr>
                <w:rFonts w:eastAsiaTheme="minorEastAsia"/>
                <w:sz w:val="24"/>
                <w:szCs w:val="24"/>
                <w:lang w:val="en-US"/>
              </w:rPr>
              <w:t>mmol</w:t>
            </w:r>
            <w:proofErr w:type="spellEnd"/>
            <w:r w:rsidRPr="002C7AB8">
              <w:rPr>
                <w:rFonts w:eastAsiaTheme="minorEastAsia"/>
                <w:sz w:val="24"/>
                <w:szCs w:val="24"/>
                <w:lang w:val="en-US"/>
              </w:rPr>
              <w:t>/L)</w:t>
            </w:r>
          </w:p>
        </w:tc>
        <w:tc>
          <w:tcPr>
            <w:tcW w:w="4258" w:type="dxa"/>
            <w:tcBorders>
              <w:top w:val="nil"/>
              <w:left w:val="nil"/>
              <w:bottom w:val="nil"/>
              <w:right w:val="single" w:sz="4" w:space="0" w:color="auto"/>
            </w:tcBorders>
          </w:tcPr>
          <w:p w14:paraId="3B4A4B0C" w14:textId="77777777" w:rsidR="00F6195B" w:rsidRPr="002C7AB8" w:rsidRDefault="00F6195B" w:rsidP="00767616">
            <w:pPr>
              <w:spacing w:line="360" w:lineRule="auto"/>
              <w:jc w:val="center"/>
              <w:rPr>
                <w:rFonts w:eastAsiaTheme="minorEastAsia"/>
                <w:sz w:val="24"/>
                <w:szCs w:val="24"/>
                <w:lang w:val="en-US"/>
              </w:rPr>
            </w:pPr>
            <w:r w:rsidRPr="002C7AB8">
              <w:rPr>
                <w:rFonts w:eastAsiaTheme="minorEastAsia"/>
                <w:sz w:val="24"/>
                <w:szCs w:val="24"/>
                <w:lang w:val="en-US"/>
              </w:rPr>
              <w:t>4.3 (0.8)</w:t>
            </w:r>
          </w:p>
        </w:tc>
      </w:tr>
      <w:tr w:rsidR="00F6195B" w:rsidRPr="002C7AB8" w14:paraId="30EBB2F2" w14:textId="77777777" w:rsidTr="00767616">
        <w:tc>
          <w:tcPr>
            <w:tcW w:w="4258" w:type="dxa"/>
            <w:tcBorders>
              <w:top w:val="nil"/>
              <w:left w:val="single" w:sz="4" w:space="0" w:color="auto"/>
              <w:bottom w:val="nil"/>
              <w:right w:val="nil"/>
            </w:tcBorders>
          </w:tcPr>
          <w:p w14:paraId="780963D5" w14:textId="77777777" w:rsidR="00F6195B" w:rsidRPr="002C7AB8" w:rsidRDefault="00F6195B" w:rsidP="00767616">
            <w:pPr>
              <w:spacing w:line="360" w:lineRule="auto"/>
              <w:jc w:val="center"/>
              <w:rPr>
                <w:rFonts w:eastAsiaTheme="minorEastAsia"/>
                <w:sz w:val="24"/>
                <w:szCs w:val="24"/>
                <w:lang w:val="en-US"/>
              </w:rPr>
            </w:pPr>
            <w:r w:rsidRPr="002C7AB8">
              <w:rPr>
                <w:rFonts w:eastAsiaTheme="minorEastAsia"/>
                <w:sz w:val="24"/>
                <w:szCs w:val="24"/>
                <w:lang w:val="en-US"/>
              </w:rPr>
              <w:t>Triglycerides (</w:t>
            </w:r>
            <w:proofErr w:type="spellStart"/>
            <w:r w:rsidRPr="002C7AB8">
              <w:rPr>
                <w:rFonts w:eastAsiaTheme="minorEastAsia"/>
                <w:sz w:val="24"/>
                <w:szCs w:val="24"/>
                <w:lang w:val="en-US"/>
              </w:rPr>
              <w:t>mmol</w:t>
            </w:r>
            <w:proofErr w:type="spellEnd"/>
            <w:r w:rsidRPr="002C7AB8">
              <w:rPr>
                <w:rFonts w:eastAsiaTheme="minorEastAsia"/>
                <w:sz w:val="24"/>
                <w:szCs w:val="24"/>
                <w:lang w:val="en-US"/>
              </w:rPr>
              <w:t>/L)</w:t>
            </w:r>
          </w:p>
        </w:tc>
        <w:tc>
          <w:tcPr>
            <w:tcW w:w="4258" w:type="dxa"/>
            <w:tcBorders>
              <w:top w:val="nil"/>
              <w:left w:val="nil"/>
              <w:bottom w:val="nil"/>
              <w:right w:val="single" w:sz="4" w:space="0" w:color="auto"/>
            </w:tcBorders>
          </w:tcPr>
          <w:p w14:paraId="1B47EA14" w14:textId="77777777" w:rsidR="00F6195B" w:rsidRPr="002C7AB8" w:rsidRDefault="00F6195B" w:rsidP="00767616">
            <w:pPr>
              <w:spacing w:line="360" w:lineRule="auto"/>
              <w:jc w:val="center"/>
              <w:rPr>
                <w:rFonts w:eastAsiaTheme="minorEastAsia"/>
                <w:sz w:val="24"/>
                <w:szCs w:val="24"/>
                <w:lang w:val="en-US"/>
              </w:rPr>
            </w:pPr>
            <w:r w:rsidRPr="002C7AB8">
              <w:rPr>
                <w:rFonts w:eastAsiaTheme="minorEastAsia"/>
                <w:sz w:val="24"/>
                <w:szCs w:val="24"/>
                <w:lang w:val="en-US"/>
              </w:rPr>
              <w:t>0.9 (0.4)</w:t>
            </w:r>
          </w:p>
        </w:tc>
      </w:tr>
      <w:tr w:rsidR="00F6195B" w:rsidRPr="002C7AB8" w14:paraId="016EAE73" w14:textId="77777777" w:rsidTr="00767616">
        <w:tc>
          <w:tcPr>
            <w:tcW w:w="4258" w:type="dxa"/>
            <w:tcBorders>
              <w:top w:val="nil"/>
              <w:left w:val="single" w:sz="4" w:space="0" w:color="auto"/>
              <w:bottom w:val="single" w:sz="4" w:space="0" w:color="auto"/>
              <w:right w:val="nil"/>
            </w:tcBorders>
          </w:tcPr>
          <w:p w14:paraId="5D3CB1CC" w14:textId="77777777" w:rsidR="00F6195B" w:rsidRPr="002C7AB8" w:rsidRDefault="00F6195B" w:rsidP="00767616">
            <w:pPr>
              <w:spacing w:line="360" w:lineRule="auto"/>
              <w:jc w:val="center"/>
              <w:rPr>
                <w:rFonts w:eastAsiaTheme="minorEastAsia"/>
                <w:sz w:val="24"/>
                <w:szCs w:val="24"/>
                <w:lang w:val="en-US"/>
              </w:rPr>
            </w:pPr>
            <w:r w:rsidRPr="002C7AB8">
              <w:rPr>
                <w:rFonts w:eastAsiaTheme="minorEastAsia"/>
                <w:sz w:val="24"/>
                <w:szCs w:val="24"/>
                <w:lang w:val="en-US"/>
              </w:rPr>
              <w:t>Glucose (</w:t>
            </w:r>
            <w:proofErr w:type="spellStart"/>
            <w:r w:rsidRPr="002C7AB8">
              <w:rPr>
                <w:rFonts w:eastAsiaTheme="minorEastAsia"/>
                <w:sz w:val="24"/>
                <w:szCs w:val="24"/>
                <w:lang w:val="en-US"/>
              </w:rPr>
              <w:t>mmol</w:t>
            </w:r>
            <w:proofErr w:type="spellEnd"/>
            <w:r w:rsidRPr="002C7AB8">
              <w:rPr>
                <w:rFonts w:eastAsiaTheme="minorEastAsia"/>
                <w:sz w:val="24"/>
                <w:szCs w:val="24"/>
                <w:lang w:val="en-US"/>
              </w:rPr>
              <w:t>/L)</w:t>
            </w:r>
          </w:p>
        </w:tc>
        <w:tc>
          <w:tcPr>
            <w:tcW w:w="4258" w:type="dxa"/>
            <w:tcBorders>
              <w:top w:val="nil"/>
              <w:left w:val="nil"/>
              <w:bottom w:val="single" w:sz="4" w:space="0" w:color="auto"/>
              <w:right w:val="single" w:sz="4" w:space="0" w:color="auto"/>
            </w:tcBorders>
          </w:tcPr>
          <w:p w14:paraId="7C7DCEAD" w14:textId="77777777" w:rsidR="00F6195B" w:rsidRPr="002C7AB8" w:rsidRDefault="00F6195B" w:rsidP="00767616">
            <w:pPr>
              <w:spacing w:line="360" w:lineRule="auto"/>
              <w:jc w:val="center"/>
              <w:rPr>
                <w:rFonts w:eastAsiaTheme="minorEastAsia"/>
                <w:sz w:val="24"/>
                <w:szCs w:val="24"/>
                <w:lang w:val="en-US"/>
              </w:rPr>
            </w:pPr>
            <w:r w:rsidRPr="002C7AB8">
              <w:rPr>
                <w:rFonts w:eastAsiaTheme="minorEastAsia"/>
                <w:sz w:val="24"/>
                <w:szCs w:val="24"/>
                <w:lang w:val="en-US"/>
              </w:rPr>
              <w:t>5.13 (0.5)</w:t>
            </w:r>
          </w:p>
        </w:tc>
      </w:tr>
      <w:bookmarkEnd w:id="0"/>
    </w:tbl>
    <w:p w14:paraId="586C37C3" w14:textId="3A761698" w:rsidR="009320AA" w:rsidRPr="00F6195B" w:rsidRDefault="00F6195B" w:rsidP="00F6195B">
      <w:pPr>
        <w:spacing w:line="360" w:lineRule="auto"/>
        <w:rPr>
          <w:rFonts w:eastAsiaTheme="majorEastAsia" w:cstheme="majorBidi"/>
          <w:b/>
          <w:bCs/>
          <w:szCs w:val="26"/>
        </w:rPr>
      </w:pPr>
      <w:r>
        <w:br w:type="page"/>
      </w:r>
      <w:bookmarkStart w:id="1" w:name="_GoBack"/>
      <w:bookmarkEnd w:id="1"/>
    </w:p>
    <w:p w14:paraId="13ABD8C3" w14:textId="77777777" w:rsidR="009320AA" w:rsidRDefault="009320AA">
      <w:pPr>
        <w:sectPr w:rsidR="009320AA" w:rsidSect="00607F6E">
          <w:pgSz w:w="11900" w:h="16840"/>
          <w:pgMar w:top="1440" w:right="1800" w:bottom="1440" w:left="1800" w:header="708" w:footer="708" w:gutter="0"/>
          <w:cols w:space="708"/>
          <w:docGrid w:linePitch="360"/>
        </w:sectPr>
      </w:pPr>
      <w:r>
        <w:lastRenderedPageBreak/>
        <w:br w:type="page"/>
      </w:r>
    </w:p>
    <w:p w14:paraId="4AA40D01" w14:textId="0ADAC7A0" w:rsidR="009320AA" w:rsidRDefault="009320AA">
      <w:r>
        <w:rPr>
          <w:noProof/>
          <w:lang w:val="en-US"/>
        </w:rPr>
        <w:lastRenderedPageBreak/>
        <w:drawing>
          <wp:anchor distT="0" distB="0" distL="114300" distR="114300" simplePos="0" relativeHeight="251659264" behindDoc="0" locked="0" layoutInCell="1" allowOverlap="1" wp14:anchorId="46CC9E2C" wp14:editId="19417E26">
            <wp:simplePos x="0" y="0"/>
            <wp:positionH relativeFrom="margin">
              <wp:posOffset>139065</wp:posOffset>
            </wp:positionH>
            <wp:positionV relativeFrom="margin">
              <wp:posOffset>0</wp:posOffset>
            </wp:positionV>
            <wp:extent cx="7633335" cy="4966970"/>
            <wp:effectExtent l="0" t="0" r="12065" b="1143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24 at 23.34.23.png"/>
                    <pic:cNvPicPr/>
                  </pic:nvPicPr>
                  <pic:blipFill rotWithShape="1">
                    <a:blip r:embed="rId6">
                      <a:extLst>
                        <a:ext uri="{28A0092B-C50C-407E-A947-70E740481C1C}">
                          <a14:useLocalDpi xmlns:a14="http://schemas.microsoft.com/office/drawing/2010/main" val="0"/>
                        </a:ext>
                      </a:extLst>
                    </a:blip>
                    <a:srcRect l="31867" t="36027" r="26637" b="20770"/>
                    <a:stretch/>
                  </pic:blipFill>
                  <pic:spPr bwMode="auto">
                    <a:xfrm>
                      <a:off x="0" y="0"/>
                      <a:ext cx="7633335" cy="4966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A0FCD9" w14:textId="77777777" w:rsidR="009320AA" w:rsidRDefault="009320AA" w:rsidP="00A96975">
      <w:pPr>
        <w:spacing w:before="50" w:line="480" w:lineRule="auto"/>
        <w:jc w:val="both"/>
      </w:pPr>
    </w:p>
    <w:p w14:paraId="1293BF0D" w14:textId="5CF05431" w:rsidR="009320AA" w:rsidRDefault="009320AA" w:rsidP="00A96975">
      <w:pPr>
        <w:spacing w:before="50" w:line="480" w:lineRule="auto"/>
        <w:jc w:val="both"/>
      </w:pPr>
    </w:p>
    <w:p w14:paraId="22E9B194" w14:textId="23F4DB83" w:rsidR="009320AA" w:rsidRDefault="009320AA" w:rsidP="009320AA"/>
    <w:p w14:paraId="28786259" w14:textId="77777777" w:rsidR="009320AA" w:rsidRDefault="009320AA" w:rsidP="009320AA"/>
    <w:p w14:paraId="4D942B39" w14:textId="77777777" w:rsidR="009320AA" w:rsidRDefault="009320AA" w:rsidP="009320AA"/>
    <w:p w14:paraId="484AF7EF" w14:textId="77777777" w:rsidR="009320AA" w:rsidRDefault="009320AA" w:rsidP="009320AA"/>
    <w:p w14:paraId="7F165793" w14:textId="77777777" w:rsidR="009320AA" w:rsidRDefault="009320AA" w:rsidP="009320AA"/>
    <w:p w14:paraId="172A94BF" w14:textId="77777777" w:rsidR="009320AA" w:rsidRDefault="009320AA" w:rsidP="009320AA"/>
    <w:p w14:paraId="57991E0E" w14:textId="77777777" w:rsidR="009320AA" w:rsidRDefault="009320AA" w:rsidP="009320AA"/>
    <w:p w14:paraId="2822E18B" w14:textId="77777777" w:rsidR="009320AA" w:rsidRDefault="009320AA" w:rsidP="009320AA"/>
    <w:p w14:paraId="5D335EE5" w14:textId="77777777" w:rsidR="009320AA" w:rsidRDefault="009320AA" w:rsidP="009320AA"/>
    <w:p w14:paraId="16CC6963" w14:textId="77777777" w:rsidR="009320AA" w:rsidRDefault="009320AA" w:rsidP="009320AA"/>
    <w:p w14:paraId="3AF3A78C" w14:textId="77777777" w:rsidR="009320AA" w:rsidRDefault="009320AA" w:rsidP="009320AA"/>
    <w:p w14:paraId="306F829F" w14:textId="77777777" w:rsidR="009320AA" w:rsidRDefault="009320AA" w:rsidP="009320AA"/>
    <w:p w14:paraId="40F2E2A8" w14:textId="77777777" w:rsidR="009320AA" w:rsidRDefault="009320AA" w:rsidP="009320AA"/>
    <w:p w14:paraId="40EE1927" w14:textId="77777777" w:rsidR="009320AA" w:rsidRDefault="009320AA" w:rsidP="009320AA"/>
    <w:p w14:paraId="0947CA02" w14:textId="77777777" w:rsidR="009320AA" w:rsidRDefault="009320AA" w:rsidP="009320AA"/>
    <w:p w14:paraId="221D643A" w14:textId="77777777" w:rsidR="009320AA" w:rsidRDefault="009320AA" w:rsidP="009320AA"/>
    <w:p w14:paraId="5C9AD312" w14:textId="77777777" w:rsidR="009320AA" w:rsidRDefault="009320AA" w:rsidP="009320AA"/>
    <w:p w14:paraId="3AA036C0" w14:textId="77777777" w:rsidR="009320AA" w:rsidRDefault="009320AA" w:rsidP="009320AA"/>
    <w:p w14:paraId="2F613C17" w14:textId="77777777" w:rsidR="009320AA" w:rsidRDefault="009320AA" w:rsidP="009320AA"/>
    <w:p w14:paraId="404B1E1D" w14:textId="77777777" w:rsidR="009320AA" w:rsidRDefault="009320AA" w:rsidP="009320AA"/>
    <w:p w14:paraId="1CCF1D9F" w14:textId="77777777" w:rsidR="009320AA" w:rsidRDefault="009320AA" w:rsidP="009320AA"/>
    <w:p w14:paraId="50B0237E" w14:textId="77777777" w:rsidR="009320AA" w:rsidRDefault="009320AA" w:rsidP="009320AA"/>
    <w:p w14:paraId="104E8499" w14:textId="77777777" w:rsidR="009320AA" w:rsidRDefault="009320AA" w:rsidP="009320AA"/>
    <w:p w14:paraId="2F41A3AC" w14:textId="1DCF77F7" w:rsidR="009320AA" w:rsidRDefault="009320AA" w:rsidP="009320AA">
      <w:r>
        <w:rPr>
          <w:noProof/>
          <w:lang w:val="en-US"/>
        </w:rPr>
        <mc:AlternateContent>
          <mc:Choice Requires="wps">
            <w:drawing>
              <wp:anchor distT="0" distB="0" distL="114300" distR="114300" simplePos="0" relativeHeight="251661312" behindDoc="0" locked="0" layoutInCell="1" allowOverlap="1" wp14:anchorId="18976D3F" wp14:editId="640D2F87">
                <wp:simplePos x="0" y="0"/>
                <wp:positionH relativeFrom="column">
                  <wp:posOffset>-7784465</wp:posOffset>
                </wp:positionH>
                <wp:positionV relativeFrom="paragraph">
                  <wp:posOffset>287655</wp:posOffset>
                </wp:positionV>
                <wp:extent cx="8343900" cy="685800"/>
                <wp:effectExtent l="0" t="0" r="0" b="0"/>
                <wp:wrapSquare wrapText="bothSides"/>
                <wp:docPr id="91" name="Text Box 91"/>
                <wp:cNvGraphicFramePr/>
                <a:graphic xmlns:a="http://schemas.openxmlformats.org/drawingml/2006/main">
                  <a:graphicData uri="http://schemas.microsoft.com/office/word/2010/wordprocessingShape">
                    <wps:wsp>
                      <wps:cNvSpPr txBox="1"/>
                      <wps:spPr>
                        <a:xfrm>
                          <a:off x="0" y="0"/>
                          <a:ext cx="83439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25B88C" w14:textId="6D0E8662" w:rsidR="00401DE2" w:rsidRPr="00B36DD2" w:rsidRDefault="00401DE2" w:rsidP="009320AA">
                            <w:pPr>
                              <w:rPr>
                                <w:b/>
                              </w:rPr>
                            </w:pPr>
                            <w:r>
                              <w:rPr>
                                <w:b/>
                              </w:rPr>
                              <w:t>Figure S</w:t>
                            </w:r>
                            <w:r w:rsidRPr="00B36DD2">
                              <w:rPr>
                                <w:b/>
                              </w:rPr>
                              <w:t>2 Oleuropein metabolism in humans</w:t>
                            </w:r>
                            <w:r>
                              <w:rPr>
                                <w:b/>
                              </w:rPr>
                              <w:t xml:space="preserve"> (based on Lockyer et. al 2012 </w:t>
                            </w:r>
                            <w:r>
                              <w:rPr>
                                <w:b/>
                              </w:rPr>
                              <w:fldChar w:fldCharType="begin"/>
                            </w:r>
                            <w:r>
                              <w:rPr>
                                <w:b/>
                              </w:rPr>
                              <w:instrText xml:space="preserve"> ADDIN EN.CITE &lt;EndNote&gt;&lt;Cite&gt;&lt;Author&gt;Lockyer&lt;/Author&gt;&lt;Year&gt;2012&lt;/Year&gt;&lt;RecNum&gt;1186&lt;/RecNum&gt;&lt;DisplayText&gt;(1)&lt;/DisplayText&gt;&lt;record&gt;&lt;rec-number&gt;1186&lt;/rec-number&gt;&lt;foreign-keys&gt;&lt;key app="EN" db-id="2rwzd92x3vasxner5dup95di259trz295tee"&gt;1186&lt;/key&gt;&lt;/foreign-keys&gt;&lt;ref-type name="Journal Article"&gt;17&lt;/ref-type&gt;&lt;contributors&gt;&lt;authors&gt;&lt;author&gt;Lockyer, Stacey&lt;/author&gt;&lt;author&gt;Yaqoob, Parveen&lt;/author&gt;&lt;author&gt;Spencer, J. P. E.&lt;/author&gt;&lt;author&gt;Rowland, Ian&lt;/author&gt;&lt;/authors&gt;&lt;/contributors&gt;&lt;titles&gt;&lt;title&gt;Olive leaf phenolics and cardiovascular risk reduction: Physiological effects and mechanisms of action&lt;/title&gt;&lt;secondary-title&gt;Nutrition and Aging&lt;/secondary-title&gt;&lt;/titles&gt;&lt;pages&gt;125-140&lt;/pages&gt;&lt;volume&gt;1&lt;/volume&gt;&lt;number&gt;2&lt;/number&gt;&lt;dates&gt;&lt;year&gt;2012&lt;/year&gt;&lt;/dates&gt;&lt;urls&gt;&lt;related-urls&gt;&lt;url&gt;http://dx.doi.org/10.3233/NUA-2012-0011&lt;/url&gt;&lt;/related-urls&gt;&lt;/urls&gt;&lt;electronic-resource-num&gt;10.3233/nua-2012-0011&lt;/electronic-resource-num&gt;&lt;/record&gt;&lt;/Cite&gt;&lt;/EndNote&gt;</w:instrText>
                            </w:r>
                            <w:r>
                              <w:rPr>
                                <w:b/>
                              </w:rPr>
                              <w:fldChar w:fldCharType="separate"/>
                            </w:r>
                            <w:r>
                              <w:rPr>
                                <w:b/>
                                <w:noProof/>
                              </w:rPr>
                              <w:t>(</w:t>
                            </w:r>
                            <w:hyperlink w:anchor="_ENREF_1" w:tooltip="Lockyer, 2012 #1186" w:history="1">
                              <w:r w:rsidR="002D6F06">
                                <w:rPr>
                                  <w:b/>
                                  <w:noProof/>
                                </w:rPr>
                                <w:t>1</w:t>
                              </w:r>
                            </w:hyperlink>
                            <w:r>
                              <w:rPr>
                                <w:b/>
                                <w:noProof/>
                              </w:rPr>
                              <w:t>)</w:t>
                            </w:r>
                            <w:r>
                              <w:rPr>
                                <w:b/>
                              </w:rPr>
                              <w:fldChar w:fldCharType="end"/>
                            </w:r>
                            <w:r>
                              <w:rPr>
                                <w:b/>
                              </w:rPr>
                              <w:t>)</w:t>
                            </w:r>
                          </w:p>
                          <w:p w14:paraId="61358B67" w14:textId="77777777" w:rsidR="00401DE2" w:rsidRDefault="00401DE2" w:rsidP="009320AA">
                            <w:pPr>
                              <w:rPr>
                                <w:rFonts w:eastAsiaTheme="minorEastAsia"/>
                                <w:lang w:val="en-US"/>
                              </w:rPr>
                            </w:pPr>
                            <w:r w:rsidRPr="00B36DD2">
                              <w:t>HT, hydroxytyrosol; HValc, homovanillic alcohol; COMT, catechol-O-methyl-</w:t>
                            </w:r>
                            <w:proofErr w:type="spellStart"/>
                            <w:r w:rsidRPr="00B36DD2">
                              <w:t>transferase</w:t>
                            </w:r>
                            <w:proofErr w:type="spellEnd"/>
                            <w:r w:rsidRPr="00B36DD2">
                              <w:t xml:space="preserve">, ST, </w:t>
                            </w:r>
                            <w:proofErr w:type="spellStart"/>
                            <w:r w:rsidRPr="00B36DD2">
                              <w:rPr>
                                <w:rFonts w:eastAsiaTheme="minorEastAsia"/>
                                <w:lang w:val="en-US"/>
                              </w:rPr>
                              <w:t>sulphurtransferase</w:t>
                            </w:r>
                            <w:proofErr w:type="spellEnd"/>
                            <w:r>
                              <w:rPr>
                                <w:rFonts w:eastAsiaTheme="minorEastAsia"/>
                                <w:lang w:val="en-US"/>
                              </w:rPr>
                              <w:t xml:space="preserve">; </w:t>
                            </w:r>
                            <w:proofErr w:type="spellStart"/>
                            <w:r>
                              <w:rPr>
                                <w:rFonts w:eastAsiaTheme="minorEastAsia"/>
                                <w:lang w:val="en-US"/>
                              </w:rPr>
                              <w:t>UDPgt</w:t>
                            </w:r>
                            <w:proofErr w:type="spellEnd"/>
                            <w:r>
                              <w:rPr>
                                <w:rFonts w:eastAsiaTheme="minorEastAsia"/>
                                <w:lang w:val="en-US"/>
                              </w:rPr>
                              <w:t xml:space="preserve">, </w:t>
                            </w:r>
                          </w:p>
                          <w:p w14:paraId="3825BE88" w14:textId="5E31CCD3" w:rsidR="00401DE2" w:rsidRPr="00B36DD2" w:rsidRDefault="00401DE2" w:rsidP="009320AA">
                            <w:proofErr w:type="gramStart"/>
                            <w:r w:rsidRPr="007C7427">
                              <w:t>UDP-</w:t>
                            </w:r>
                            <w:proofErr w:type="spellStart"/>
                            <w:r w:rsidRPr="007C7427">
                              <w:t>glucuronosyl</w:t>
                            </w:r>
                            <w:proofErr w:type="spellEnd"/>
                            <w:r w:rsidRPr="007C7427">
                              <w:t xml:space="preserve"> </w:t>
                            </w:r>
                            <w:proofErr w:type="spellStart"/>
                            <w:r w:rsidRPr="007C7427">
                              <w:t>transferase</w:t>
                            </w:r>
                            <w:proofErr w:type="spellEnd"/>
                            <w:r>
                              <w:t>; EA, oleuropein aglycone; EDA, oleuropein aglycone di-aldehyde.</w:t>
                            </w:r>
                            <w:proofErr w:type="gram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1" o:spid="_x0000_s1026" type="#_x0000_t202" style="position:absolute;margin-left:-612.9pt;margin-top:22.65pt;width:657pt;height:5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" filled="f" stroked="f">
                <v:textbox>
                  <w:txbxContent>
                    <w:p w14:paraId="6E25B88C" w14:textId="6D0E8662" w:rsidR="00401DE2" w:rsidRPr="00B36DD2" w:rsidRDefault="00401DE2" w:rsidP="009320AA">
                      <w:pPr>
                        <w:rPr>
                          <w:b/>
                        </w:rPr>
                      </w:pPr>
                      <w:r>
                        <w:rPr>
                          <w:b/>
                        </w:rPr>
                        <w:t>Figure S</w:t>
                      </w:r>
                      <w:r w:rsidRPr="00B36DD2">
                        <w:rPr>
                          <w:b/>
                        </w:rPr>
                        <w:t>2 Oleuropein metabolism in humans</w:t>
                      </w:r>
                      <w:r>
                        <w:rPr>
                          <w:b/>
                        </w:rPr>
                        <w:t xml:space="preserve"> (based on Lockyer et. al 2012 </w:t>
                      </w:r>
                      <w:r>
                        <w:rPr>
                          <w:b/>
                        </w:rPr>
                        <w:fldChar w:fldCharType="begin"/>
                      </w:r>
                      <w:r>
                        <w:rPr>
                          <w:b/>
                        </w:rPr>
                        <w:instrText xml:space="preserve"> ADDIN EN.CITE &lt;EndNote&gt;&lt;Cite&gt;&lt;Author&gt;Lockyer&lt;/Author&gt;&lt;Year&gt;2012&lt;/Year&gt;&lt;RecNum&gt;1186&lt;/RecNum&gt;&lt;DisplayText&gt;(1)&lt;/DisplayText&gt;&lt;record&gt;&lt;rec-number&gt;1186&lt;/rec-number&gt;&lt;foreign-keys&gt;&lt;key app="EN" db-id="2rwzd92x3vasxner5dup95di259trz295tee"&gt;1186&lt;/key&gt;&lt;/foreign-keys&gt;&lt;ref-type name="Journal Article"&gt;17&lt;/ref-type&gt;&lt;contributors&gt;&lt;authors&gt;&lt;author&gt;Lockyer, Stacey&lt;/author&gt;&lt;author&gt;Yaqoob, Parveen&lt;/author&gt;&lt;author&gt;Spencer, J. P. E.&lt;/author&gt;&lt;author&gt;Rowland, Ian&lt;/author&gt;&lt;/authors&gt;&lt;/contributors&gt;&lt;titles&gt;&lt;title&gt;Olive leaf phenolics and cardiovascular risk reduction: Physiological effects and mechanisms of action&lt;/title&gt;&lt;secondary-title&gt;Nutrition and Aging&lt;/secondary-title&gt;&lt;/titles&gt;&lt;pages&gt;125-140&lt;/pages&gt;&lt;volume&gt;1&lt;/volume&gt;&lt;number&gt;2&lt;/number&gt;&lt;dates&gt;&lt;year&gt;2012&lt;/year&gt;&lt;/dates&gt;&lt;urls&gt;&lt;related-urls&gt;&lt;url&gt;http://dx.doi.org/10.3233/NUA-2012-0011&lt;/url&gt;&lt;/related-urls&gt;&lt;/urls&gt;&lt;electronic-resource-num&gt;10.3233/nua-2012-0011&lt;/electronic-resource-num&gt;&lt;/record&gt;&lt;/Cite&gt;&lt;/EndNote&gt;</w:instrText>
                      </w:r>
                      <w:r>
                        <w:rPr>
                          <w:b/>
                        </w:rPr>
                        <w:fldChar w:fldCharType="separate"/>
                      </w:r>
                      <w:r>
                        <w:rPr>
                          <w:b/>
                          <w:noProof/>
                        </w:rPr>
                        <w:t>(</w:t>
                      </w:r>
                      <w:hyperlink w:anchor="_ENREF_1" w:tooltip="Lockyer, 2012 #1186" w:history="1">
                        <w:r w:rsidR="002D6F06">
                          <w:rPr>
                            <w:b/>
                            <w:noProof/>
                          </w:rPr>
                          <w:t>1</w:t>
                        </w:r>
                      </w:hyperlink>
                      <w:r>
                        <w:rPr>
                          <w:b/>
                          <w:noProof/>
                        </w:rPr>
                        <w:t>)</w:t>
                      </w:r>
                      <w:r>
                        <w:rPr>
                          <w:b/>
                        </w:rPr>
                        <w:fldChar w:fldCharType="end"/>
                      </w:r>
                      <w:r>
                        <w:rPr>
                          <w:b/>
                        </w:rPr>
                        <w:t>)</w:t>
                      </w:r>
                    </w:p>
                    <w:p w14:paraId="61358B67" w14:textId="77777777" w:rsidR="00401DE2" w:rsidRDefault="00401DE2" w:rsidP="009320AA">
                      <w:pPr>
                        <w:rPr>
                          <w:rFonts w:eastAsiaTheme="minorEastAsia"/>
                          <w:lang w:val="en-US"/>
                        </w:rPr>
                      </w:pPr>
                      <w:r w:rsidRPr="00B36DD2">
                        <w:t>HT, hydroxytyrosol; HValc, homovanillic alcohol; COMT, catechol-O-methyl-</w:t>
                      </w:r>
                      <w:proofErr w:type="spellStart"/>
                      <w:r w:rsidRPr="00B36DD2">
                        <w:t>transferase</w:t>
                      </w:r>
                      <w:proofErr w:type="spellEnd"/>
                      <w:r w:rsidRPr="00B36DD2">
                        <w:t xml:space="preserve">, ST, </w:t>
                      </w:r>
                      <w:proofErr w:type="spellStart"/>
                      <w:r w:rsidRPr="00B36DD2">
                        <w:rPr>
                          <w:rFonts w:eastAsiaTheme="minorEastAsia"/>
                          <w:lang w:val="en-US"/>
                        </w:rPr>
                        <w:t>sulphurtransferase</w:t>
                      </w:r>
                      <w:proofErr w:type="spellEnd"/>
                      <w:r>
                        <w:rPr>
                          <w:rFonts w:eastAsiaTheme="minorEastAsia"/>
                          <w:lang w:val="en-US"/>
                        </w:rPr>
                        <w:t xml:space="preserve">; </w:t>
                      </w:r>
                      <w:proofErr w:type="spellStart"/>
                      <w:r>
                        <w:rPr>
                          <w:rFonts w:eastAsiaTheme="minorEastAsia"/>
                          <w:lang w:val="en-US"/>
                        </w:rPr>
                        <w:t>UDPgt</w:t>
                      </w:r>
                      <w:proofErr w:type="spellEnd"/>
                      <w:r>
                        <w:rPr>
                          <w:rFonts w:eastAsiaTheme="minorEastAsia"/>
                          <w:lang w:val="en-US"/>
                        </w:rPr>
                        <w:t xml:space="preserve">, </w:t>
                      </w:r>
                    </w:p>
                    <w:p w14:paraId="3825BE88" w14:textId="5E31CCD3" w:rsidR="00401DE2" w:rsidRPr="00B36DD2" w:rsidRDefault="00401DE2" w:rsidP="009320AA">
                      <w:proofErr w:type="gramStart"/>
                      <w:r w:rsidRPr="007C7427">
                        <w:t>UDP-</w:t>
                      </w:r>
                      <w:proofErr w:type="spellStart"/>
                      <w:r w:rsidRPr="007C7427">
                        <w:t>glucuronosyl</w:t>
                      </w:r>
                      <w:proofErr w:type="spellEnd"/>
                      <w:r w:rsidRPr="007C7427">
                        <w:t xml:space="preserve"> </w:t>
                      </w:r>
                      <w:proofErr w:type="spellStart"/>
                      <w:r w:rsidRPr="007C7427">
                        <w:t>transferase</w:t>
                      </w:r>
                      <w:proofErr w:type="spellEnd"/>
                      <w:r>
                        <w:t>; EA, oleuropein aglycone; EDA, oleuropein aglycone di-aldehyde.</w:t>
                      </w:r>
                      <w:proofErr w:type="gramEnd"/>
                      <w:r>
                        <w:t xml:space="preserve"> </w:t>
                      </w:r>
                    </w:p>
                  </w:txbxContent>
                </v:textbox>
                <w10:wrap type="square"/>
              </v:shape>
            </w:pict>
          </mc:Fallback>
        </mc:AlternateContent>
      </w:r>
    </w:p>
    <w:p w14:paraId="0F5D8AB2" w14:textId="77777777" w:rsidR="00401DE2" w:rsidRDefault="00401DE2" w:rsidP="009320AA">
      <w:pPr>
        <w:rPr>
          <w:b/>
        </w:rPr>
        <w:sectPr w:rsidR="00401DE2" w:rsidSect="009320AA">
          <w:pgSz w:w="16840" w:h="11900" w:orient="landscape"/>
          <w:pgMar w:top="1800" w:right="1440" w:bottom="1800" w:left="1440" w:header="708" w:footer="708" w:gutter="0"/>
          <w:cols w:space="708"/>
          <w:docGrid w:linePitch="360"/>
        </w:sectPr>
      </w:pPr>
    </w:p>
    <w:p w14:paraId="0430B8E8" w14:textId="29C1EAE8" w:rsidR="009320AA" w:rsidRPr="009320AA" w:rsidRDefault="009320AA" w:rsidP="009320AA">
      <w:pPr>
        <w:rPr>
          <w:b/>
        </w:rPr>
      </w:pPr>
      <w:r w:rsidRPr="009320AA">
        <w:rPr>
          <w:b/>
        </w:rPr>
        <w:lastRenderedPageBreak/>
        <w:t>References</w:t>
      </w:r>
    </w:p>
    <w:p w14:paraId="246834A2" w14:textId="77777777" w:rsidR="002D6F06" w:rsidRPr="002D6F06" w:rsidRDefault="009320AA" w:rsidP="002D6F06">
      <w:pPr>
        <w:rPr>
          <w:noProof/>
        </w:rPr>
      </w:pPr>
      <w:r>
        <w:rPr>
          <w:noProof/>
          <w:lang w:val="en-US"/>
        </w:rPr>
        <w:fldChar w:fldCharType="begin"/>
      </w:r>
      <w:r>
        <w:instrText xml:space="preserve"> ADDIN EN.REFLIST </w:instrText>
      </w:r>
      <w:r>
        <w:rPr>
          <w:noProof/>
          <w:lang w:val="en-US"/>
        </w:rPr>
        <w:fldChar w:fldCharType="separate"/>
      </w:r>
      <w:bookmarkStart w:id="2" w:name="_ENREF_1"/>
      <w:r w:rsidR="002D6F06" w:rsidRPr="002D6F06">
        <w:rPr>
          <w:noProof/>
        </w:rPr>
        <w:t>1.</w:t>
      </w:r>
      <w:r w:rsidR="002D6F06" w:rsidRPr="002D6F06">
        <w:rPr>
          <w:noProof/>
        </w:rPr>
        <w:tab/>
        <w:t>Lockyer S, Yaqoob P, Spencer JPE, Rowland I. Olive leaf phenolics and cardiovascular risk reduction: Physiological effects and mechanisms of action. Nutrition and Aging. 2012;1(2):125-40.</w:t>
      </w:r>
      <w:bookmarkEnd w:id="2"/>
    </w:p>
    <w:p w14:paraId="38EC223F" w14:textId="55EA9BCF" w:rsidR="002D6F06" w:rsidRDefault="002D6F06" w:rsidP="002D6F06">
      <w:pPr>
        <w:rPr>
          <w:noProof/>
          <w:lang w:val="en-US"/>
        </w:rPr>
      </w:pPr>
    </w:p>
    <w:p w14:paraId="39C510E6" w14:textId="53F6AA32" w:rsidR="00185D93" w:rsidRDefault="009320AA" w:rsidP="009320AA">
      <w:r>
        <w:fldChar w:fldCharType="end"/>
      </w:r>
    </w:p>
    <w:sectPr w:rsidR="00185D93" w:rsidSect="00401DE2">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rwzd92x3vasxner5dup95di259trz295tee&quot;&gt;Olive leaf FINAL&lt;record-ids&gt;&lt;item&gt;1186&lt;/item&gt;&lt;/record-ids&gt;&lt;/item&gt;&lt;/Libraries&gt;"/>
  </w:docVars>
  <w:rsids>
    <w:rsidRoot w:val="009D2A81"/>
    <w:rsid w:val="00185D93"/>
    <w:rsid w:val="002D6F06"/>
    <w:rsid w:val="00342DC1"/>
    <w:rsid w:val="00401DE2"/>
    <w:rsid w:val="00607F6E"/>
    <w:rsid w:val="007E3DBB"/>
    <w:rsid w:val="009320AA"/>
    <w:rsid w:val="0095706D"/>
    <w:rsid w:val="009D2A81"/>
    <w:rsid w:val="00A96975"/>
    <w:rsid w:val="00C67E81"/>
    <w:rsid w:val="00D24788"/>
    <w:rsid w:val="00D42FB7"/>
    <w:rsid w:val="00E00850"/>
    <w:rsid w:val="00E400F4"/>
    <w:rsid w:val="00EC225B"/>
    <w:rsid w:val="00F619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7FF58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A81"/>
    <w:rPr>
      <w:rFonts w:ascii="Times New Roman" w:eastAsia="Times New Roman" w:hAnsi="Times New Roman" w:cs="Times New Roman"/>
      <w:lang w:val="en-GB"/>
    </w:rPr>
  </w:style>
  <w:style w:type="paragraph" w:styleId="Heading3">
    <w:name w:val="heading 3"/>
    <w:basedOn w:val="Normal"/>
    <w:next w:val="Normal"/>
    <w:link w:val="Heading3Char"/>
    <w:uiPriority w:val="9"/>
    <w:unhideWhenUsed/>
    <w:qFormat/>
    <w:rsid w:val="00185D93"/>
    <w:pPr>
      <w:keepNext/>
      <w:keepLines/>
      <w:spacing w:before="200"/>
      <w:outlineLvl w:val="2"/>
    </w:pPr>
    <w:rPr>
      <w:rFonts w:ascii="Times" w:eastAsiaTheme="majorEastAsia" w:hAnsi="Times" w:cstheme="majorBid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85D93"/>
    <w:rPr>
      <w:rFonts w:ascii="Times" w:eastAsiaTheme="majorEastAsia" w:hAnsi="Times" w:cstheme="majorBidi"/>
      <w:b/>
      <w:bCs/>
      <w:i/>
      <w:lang w:val="en-GB"/>
    </w:rPr>
  </w:style>
  <w:style w:type="paragraph" w:styleId="BalloonText">
    <w:name w:val="Balloon Text"/>
    <w:basedOn w:val="Normal"/>
    <w:link w:val="BalloonTextChar"/>
    <w:uiPriority w:val="99"/>
    <w:semiHidden/>
    <w:unhideWhenUsed/>
    <w:rsid w:val="007E3D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3DBB"/>
    <w:rPr>
      <w:rFonts w:ascii="Lucida Grande" w:eastAsia="Times New Roman" w:hAnsi="Lucida Grande" w:cs="Lucida Grande"/>
      <w:sz w:val="18"/>
      <w:szCs w:val="18"/>
      <w:lang w:val="en-GB"/>
    </w:rPr>
  </w:style>
  <w:style w:type="character" w:styleId="Hyperlink">
    <w:name w:val="Hyperlink"/>
    <w:basedOn w:val="DefaultParagraphFont"/>
    <w:uiPriority w:val="99"/>
    <w:unhideWhenUsed/>
    <w:rsid w:val="009320AA"/>
    <w:rPr>
      <w:color w:val="0000FF" w:themeColor="hyperlink"/>
      <w:u w:val="single"/>
    </w:rPr>
  </w:style>
  <w:style w:type="paragraph" w:customStyle="1" w:styleId="EndNoteBibliographyTitle">
    <w:name w:val="EndNote Bibliography Title"/>
    <w:basedOn w:val="Normal"/>
    <w:link w:val="EndNoteBibliographyTitleChar"/>
    <w:rsid w:val="00E00850"/>
    <w:pPr>
      <w:jc w:val="center"/>
    </w:pPr>
    <w:rPr>
      <w:noProof/>
      <w:lang w:val="en-US"/>
    </w:rPr>
  </w:style>
  <w:style w:type="character" w:customStyle="1" w:styleId="EndNoteBibliographyTitleChar">
    <w:name w:val="EndNote Bibliography Title Char"/>
    <w:basedOn w:val="DefaultParagraphFont"/>
    <w:link w:val="EndNoteBibliographyTitle"/>
    <w:rsid w:val="00E00850"/>
    <w:rPr>
      <w:rFonts w:ascii="Times New Roman" w:eastAsia="Times New Roman" w:hAnsi="Times New Roman" w:cs="Times New Roman"/>
      <w:noProof/>
    </w:rPr>
  </w:style>
  <w:style w:type="paragraph" w:customStyle="1" w:styleId="EndNoteBibliography">
    <w:name w:val="EndNote Bibliography"/>
    <w:basedOn w:val="Normal"/>
    <w:link w:val="EndNoteBibliographyChar"/>
    <w:rsid w:val="00E00850"/>
    <w:rPr>
      <w:noProof/>
      <w:lang w:val="en-US"/>
    </w:rPr>
  </w:style>
  <w:style w:type="character" w:customStyle="1" w:styleId="EndNoteBibliographyChar">
    <w:name w:val="EndNote Bibliography Char"/>
    <w:basedOn w:val="DefaultParagraphFont"/>
    <w:link w:val="EndNoteBibliography"/>
    <w:rsid w:val="00E00850"/>
    <w:rPr>
      <w:rFonts w:ascii="Times New Roman" w:eastAsia="Times New Roman" w:hAnsi="Times New Roman" w:cs="Times New Roman"/>
      <w:noProof/>
    </w:rPr>
  </w:style>
  <w:style w:type="table" w:styleId="TableGrid">
    <w:name w:val="Table Grid"/>
    <w:basedOn w:val="TableNormal"/>
    <w:uiPriority w:val="59"/>
    <w:rsid w:val="00F6195B"/>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A81"/>
    <w:rPr>
      <w:rFonts w:ascii="Times New Roman" w:eastAsia="Times New Roman" w:hAnsi="Times New Roman" w:cs="Times New Roman"/>
      <w:lang w:val="en-GB"/>
    </w:rPr>
  </w:style>
  <w:style w:type="paragraph" w:styleId="Heading3">
    <w:name w:val="heading 3"/>
    <w:basedOn w:val="Normal"/>
    <w:next w:val="Normal"/>
    <w:link w:val="Heading3Char"/>
    <w:uiPriority w:val="9"/>
    <w:unhideWhenUsed/>
    <w:qFormat/>
    <w:rsid w:val="00185D93"/>
    <w:pPr>
      <w:keepNext/>
      <w:keepLines/>
      <w:spacing w:before="200"/>
      <w:outlineLvl w:val="2"/>
    </w:pPr>
    <w:rPr>
      <w:rFonts w:ascii="Times" w:eastAsiaTheme="majorEastAsia" w:hAnsi="Times" w:cstheme="majorBid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85D93"/>
    <w:rPr>
      <w:rFonts w:ascii="Times" w:eastAsiaTheme="majorEastAsia" w:hAnsi="Times" w:cstheme="majorBidi"/>
      <w:b/>
      <w:bCs/>
      <w:i/>
      <w:lang w:val="en-GB"/>
    </w:rPr>
  </w:style>
  <w:style w:type="paragraph" w:styleId="BalloonText">
    <w:name w:val="Balloon Text"/>
    <w:basedOn w:val="Normal"/>
    <w:link w:val="BalloonTextChar"/>
    <w:uiPriority w:val="99"/>
    <w:semiHidden/>
    <w:unhideWhenUsed/>
    <w:rsid w:val="007E3D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3DBB"/>
    <w:rPr>
      <w:rFonts w:ascii="Lucida Grande" w:eastAsia="Times New Roman" w:hAnsi="Lucida Grande" w:cs="Lucida Grande"/>
      <w:sz w:val="18"/>
      <w:szCs w:val="18"/>
      <w:lang w:val="en-GB"/>
    </w:rPr>
  </w:style>
  <w:style w:type="character" w:styleId="Hyperlink">
    <w:name w:val="Hyperlink"/>
    <w:basedOn w:val="DefaultParagraphFont"/>
    <w:uiPriority w:val="99"/>
    <w:unhideWhenUsed/>
    <w:rsid w:val="009320AA"/>
    <w:rPr>
      <w:color w:val="0000FF" w:themeColor="hyperlink"/>
      <w:u w:val="single"/>
    </w:rPr>
  </w:style>
  <w:style w:type="paragraph" w:customStyle="1" w:styleId="EndNoteBibliographyTitle">
    <w:name w:val="EndNote Bibliography Title"/>
    <w:basedOn w:val="Normal"/>
    <w:link w:val="EndNoteBibliographyTitleChar"/>
    <w:rsid w:val="00E00850"/>
    <w:pPr>
      <w:jc w:val="center"/>
    </w:pPr>
    <w:rPr>
      <w:noProof/>
      <w:lang w:val="en-US"/>
    </w:rPr>
  </w:style>
  <w:style w:type="character" w:customStyle="1" w:styleId="EndNoteBibliographyTitleChar">
    <w:name w:val="EndNote Bibliography Title Char"/>
    <w:basedOn w:val="DefaultParagraphFont"/>
    <w:link w:val="EndNoteBibliographyTitle"/>
    <w:rsid w:val="00E00850"/>
    <w:rPr>
      <w:rFonts w:ascii="Times New Roman" w:eastAsia="Times New Roman" w:hAnsi="Times New Roman" w:cs="Times New Roman"/>
      <w:noProof/>
    </w:rPr>
  </w:style>
  <w:style w:type="paragraph" w:customStyle="1" w:styleId="EndNoteBibliography">
    <w:name w:val="EndNote Bibliography"/>
    <w:basedOn w:val="Normal"/>
    <w:link w:val="EndNoteBibliographyChar"/>
    <w:rsid w:val="00E00850"/>
    <w:rPr>
      <w:noProof/>
      <w:lang w:val="en-US"/>
    </w:rPr>
  </w:style>
  <w:style w:type="character" w:customStyle="1" w:styleId="EndNoteBibliographyChar">
    <w:name w:val="EndNote Bibliography Char"/>
    <w:basedOn w:val="DefaultParagraphFont"/>
    <w:link w:val="EndNoteBibliography"/>
    <w:rsid w:val="00E00850"/>
    <w:rPr>
      <w:rFonts w:ascii="Times New Roman" w:eastAsia="Times New Roman" w:hAnsi="Times New Roman" w:cs="Times New Roman"/>
      <w:noProof/>
    </w:rPr>
  </w:style>
  <w:style w:type="table" w:styleId="TableGrid">
    <w:name w:val="Table Grid"/>
    <w:basedOn w:val="TableNormal"/>
    <w:uiPriority w:val="59"/>
    <w:rsid w:val="00F6195B"/>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172</Words>
  <Characters>985</Characters>
  <Application>Microsoft Macintosh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Reading University</Company>
  <LinksUpToDate>false</LinksUpToDate>
  <CharactersWithSpaces>1155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Stacey Lockyer</dc:creator>
  <cp:lastModifiedBy>Stacey Lockyer</cp:lastModifiedBy>
  <cp:revision>4</cp:revision>
  <cp:lastPrinted>2014-07-16T21:56:00Z</cp:lastPrinted>
  <dcterms:created xsi:type="dcterms:W3CDTF">2014-10-16T20:46:00Z</dcterms:created>
  <dcterms:modified xsi:type="dcterms:W3CDTF">2015-01-11T18:44:00Z</dcterms:modified>
</cp:coreProperties>
</file>